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D0349" w14:textId="77777777" w:rsidR="00227D4A" w:rsidRDefault="00227D4A" w:rsidP="00B078FD">
      <w:pPr>
        <w:tabs>
          <w:tab w:val="left" w:pos="1276"/>
        </w:tabs>
        <w:jc w:val="center"/>
        <w:rPr>
          <w:rFonts w:ascii="Arial" w:hAnsi="Arial" w:cs="Arial"/>
          <w:b/>
          <w:color w:val="000000" w:themeColor="text1"/>
          <w:sz w:val="22"/>
          <w:szCs w:val="22"/>
        </w:rPr>
      </w:pPr>
    </w:p>
    <w:p w14:paraId="0B29783F" w14:textId="684920D2" w:rsidR="00B078FD" w:rsidRPr="008F4A7F" w:rsidRDefault="00166711" w:rsidP="00B078FD">
      <w:pPr>
        <w:tabs>
          <w:tab w:val="left" w:pos="1276"/>
        </w:tabs>
        <w:jc w:val="center"/>
        <w:rPr>
          <w:rFonts w:ascii="Arial" w:hAnsi="Arial" w:cs="Arial"/>
          <w:b/>
          <w:color w:val="000000" w:themeColor="text1"/>
          <w:sz w:val="22"/>
          <w:szCs w:val="22"/>
        </w:rPr>
      </w:pPr>
      <w:r w:rsidRPr="008F4A7F">
        <w:rPr>
          <w:rFonts w:ascii="Arial" w:hAnsi="Arial" w:cs="Arial"/>
          <w:b/>
          <w:color w:val="000000" w:themeColor="text1"/>
          <w:sz w:val="22"/>
          <w:szCs w:val="22"/>
        </w:rPr>
        <w:t xml:space="preserve">RESOLUCIÓN </w:t>
      </w:r>
      <w:r w:rsidR="00D523B7" w:rsidRPr="008F4A7F">
        <w:rPr>
          <w:rFonts w:ascii="Arial" w:hAnsi="Arial" w:cs="Arial"/>
          <w:b/>
          <w:color w:val="000000" w:themeColor="text1"/>
          <w:sz w:val="22"/>
          <w:szCs w:val="22"/>
        </w:rPr>
        <w:t xml:space="preserve">No </w:t>
      </w:r>
      <w:r w:rsidR="009E3A8B" w:rsidRPr="00F532A2">
        <w:rPr>
          <w:rFonts w:ascii="Arial" w:hAnsi="Arial" w:cs="Arial"/>
          <w:b/>
          <w:color w:val="FF0000"/>
          <w:sz w:val="22"/>
          <w:szCs w:val="22"/>
        </w:rPr>
        <w:t>XXX</w:t>
      </w:r>
    </w:p>
    <w:p w14:paraId="50F6B398" w14:textId="19622018" w:rsidR="00B078FD" w:rsidRPr="008F4A7F" w:rsidRDefault="004C60DC" w:rsidP="00B078FD">
      <w:pPr>
        <w:tabs>
          <w:tab w:val="left" w:pos="1276"/>
        </w:tabs>
        <w:jc w:val="center"/>
        <w:rPr>
          <w:rFonts w:ascii="Arial" w:hAnsi="Arial" w:cs="Arial"/>
          <w:b/>
          <w:color w:val="000000" w:themeColor="text1"/>
          <w:sz w:val="22"/>
          <w:szCs w:val="22"/>
        </w:rPr>
      </w:pPr>
      <w:r>
        <w:rPr>
          <w:rFonts w:ascii="Arial" w:hAnsi="Arial" w:cs="Arial"/>
          <w:b/>
          <w:color w:val="000000" w:themeColor="text1"/>
          <w:sz w:val="22"/>
          <w:szCs w:val="22"/>
        </w:rPr>
        <w:t>(</w:t>
      </w:r>
      <w:r w:rsidR="00B078FD" w:rsidRPr="008F4A7F">
        <w:rPr>
          <w:rFonts w:ascii="Arial" w:hAnsi="Arial" w:cs="Arial"/>
          <w:b/>
          <w:color w:val="000000" w:themeColor="text1"/>
          <w:sz w:val="22"/>
          <w:szCs w:val="22"/>
        </w:rPr>
        <w:t xml:space="preserve"> </w:t>
      </w:r>
      <w:r w:rsidR="00C81B1D">
        <w:rPr>
          <w:rFonts w:ascii="Arial" w:hAnsi="Arial" w:cs="Arial"/>
          <w:b/>
          <w:color w:val="000000" w:themeColor="text1"/>
          <w:sz w:val="22"/>
          <w:szCs w:val="22"/>
        </w:rPr>
        <w:t>XX</w:t>
      </w:r>
      <w:r w:rsidR="007F0A25" w:rsidRPr="008F4A7F">
        <w:rPr>
          <w:rFonts w:ascii="Arial" w:hAnsi="Arial" w:cs="Arial"/>
          <w:b/>
          <w:color w:val="000000" w:themeColor="text1"/>
          <w:sz w:val="22"/>
          <w:szCs w:val="22"/>
        </w:rPr>
        <w:t xml:space="preserve"> </w:t>
      </w:r>
      <w:r w:rsidR="00B078FD" w:rsidRPr="008F4A7F">
        <w:rPr>
          <w:rFonts w:ascii="Arial" w:hAnsi="Arial" w:cs="Arial"/>
          <w:b/>
          <w:color w:val="000000" w:themeColor="text1"/>
          <w:sz w:val="22"/>
          <w:szCs w:val="22"/>
        </w:rPr>
        <w:t xml:space="preserve">de </w:t>
      </w:r>
      <w:r w:rsidR="00C81B1D">
        <w:rPr>
          <w:rFonts w:ascii="Arial" w:hAnsi="Arial" w:cs="Arial"/>
          <w:b/>
          <w:color w:val="000000" w:themeColor="text1"/>
          <w:sz w:val="22"/>
          <w:szCs w:val="22"/>
        </w:rPr>
        <w:t>Juni</w:t>
      </w:r>
      <w:r w:rsidR="00346CF1">
        <w:rPr>
          <w:rFonts w:ascii="Arial" w:hAnsi="Arial" w:cs="Arial"/>
          <w:b/>
          <w:color w:val="000000" w:themeColor="text1"/>
          <w:sz w:val="22"/>
          <w:szCs w:val="22"/>
        </w:rPr>
        <w:t>o</w:t>
      </w:r>
      <w:r w:rsidR="00B078FD" w:rsidRPr="008F4A7F">
        <w:rPr>
          <w:rFonts w:ascii="Arial" w:hAnsi="Arial" w:cs="Arial"/>
          <w:b/>
          <w:color w:val="000000" w:themeColor="text1"/>
          <w:sz w:val="22"/>
          <w:szCs w:val="22"/>
        </w:rPr>
        <w:t xml:space="preserve"> de 202</w:t>
      </w:r>
      <w:r w:rsidR="00E238C6">
        <w:rPr>
          <w:rFonts w:ascii="Arial" w:hAnsi="Arial" w:cs="Arial"/>
          <w:b/>
          <w:color w:val="000000" w:themeColor="text1"/>
          <w:sz w:val="22"/>
          <w:szCs w:val="22"/>
        </w:rPr>
        <w:t>6</w:t>
      </w:r>
      <w:r>
        <w:rPr>
          <w:rFonts w:ascii="Arial" w:hAnsi="Arial" w:cs="Arial"/>
          <w:b/>
          <w:color w:val="000000" w:themeColor="text1"/>
          <w:sz w:val="22"/>
          <w:szCs w:val="22"/>
        </w:rPr>
        <w:t>)</w:t>
      </w:r>
    </w:p>
    <w:p w14:paraId="2354BC97" w14:textId="77777777" w:rsidR="00B078FD" w:rsidRDefault="00B078FD" w:rsidP="00B078FD">
      <w:pPr>
        <w:tabs>
          <w:tab w:val="left" w:pos="1276"/>
        </w:tabs>
        <w:jc w:val="center"/>
        <w:rPr>
          <w:rFonts w:ascii="Arial" w:hAnsi="Arial" w:cs="Arial"/>
          <w:b/>
          <w:color w:val="000000" w:themeColor="text1"/>
          <w:sz w:val="22"/>
          <w:szCs w:val="22"/>
        </w:rPr>
      </w:pPr>
    </w:p>
    <w:p w14:paraId="7F4CBEBE" w14:textId="77777777" w:rsidR="00227D4A" w:rsidRPr="008F4A7F" w:rsidRDefault="00227D4A" w:rsidP="00B078FD">
      <w:pPr>
        <w:tabs>
          <w:tab w:val="left" w:pos="1276"/>
        </w:tabs>
        <w:jc w:val="center"/>
        <w:rPr>
          <w:rFonts w:ascii="Arial" w:hAnsi="Arial" w:cs="Arial"/>
          <w:b/>
          <w:color w:val="000000" w:themeColor="text1"/>
          <w:sz w:val="22"/>
          <w:szCs w:val="22"/>
        </w:rPr>
      </w:pPr>
    </w:p>
    <w:p w14:paraId="04D3B5B1" w14:textId="6C4232CF" w:rsidR="00B078FD" w:rsidRPr="008F4A7F" w:rsidRDefault="00B078FD" w:rsidP="00B078FD">
      <w:pPr>
        <w:tabs>
          <w:tab w:val="left" w:pos="1276"/>
        </w:tabs>
        <w:jc w:val="center"/>
        <w:rPr>
          <w:rFonts w:ascii="Arial" w:hAnsi="Arial" w:cs="Arial"/>
          <w:b/>
          <w:i/>
          <w:iCs/>
          <w:color w:val="000000" w:themeColor="text1"/>
          <w:sz w:val="22"/>
          <w:szCs w:val="22"/>
        </w:rPr>
      </w:pPr>
      <w:r w:rsidRPr="008F4A7F">
        <w:rPr>
          <w:rFonts w:ascii="Arial" w:hAnsi="Arial" w:cs="Arial"/>
          <w:b/>
          <w:color w:val="000000" w:themeColor="text1"/>
          <w:sz w:val="22"/>
          <w:szCs w:val="22"/>
        </w:rPr>
        <w:t>“</w:t>
      </w:r>
      <w:r w:rsidR="00C81B1D" w:rsidRPr="00C81B1D">
        <w:rPr>
          <w:rFonts w:ascii="Arial" w:hAnsi="Arial" w:cs="Arial"/>
          <w:b/>
          <w:i/>
          <w:iCs/>
          <w:color w:val="000000" w:themeColor="text1"/>
          <w:sz w:val="22"/>
          <w:szCs w:val="22"/>
        </w:rPr>
        <w:t>POR MEDIO DE LA CUAL SE RESUELVE EL IMPEDIMENTO PRESENTADO POR EL DOCTOR ALEXANDER FORERO FORERO, INSPECTOR SEGUNDO DE POLICÍA DEL MUNICIPIO DE CAJICÁ, DENTRO DE LOS PROCESOS VERBALES ABREVIADOS CCC-001-2025, CCC-002-2025, CCIU-001-2025 Y CCIU-002-2025.</w:t>
      </w:r>
      <w:r w:rsidRPr="008F4A7F">
        <w:rPr>
          <w:rFonts w:ascii="Arial" w:hAnsi="Arial" w:cs="Arial"/>
          <w:b/>
          <w:i/>
          <w:iCs/>
          <w:color w:val="000000" w:themeColor="text1"/>
          <w:sz w:val="22"/>
          <w:szCs w:val="22"/>
        </w:rPr>
        <w:t xml:space="preserve">” </w:t>
      </w:r>
    </w:p>
    <w:p w14:paraId="48EDE9B1" w14:textId="77777777" w:rsidR="00B078FD" w:rsidRDefault="00B078FD" w:rsidP="00B078FD">
      <w:pPr>
        <w:tabs>
          <w:tab w:val="left" w:pos="1276"/>
        </w:tabs>
        <w:jc w:val="center"/>
        <w:rPr>
          <w:rFonts w:ascii="Arial" w:hAnsi="Arial" w:cs="Arial"/>
          <w:b/>
          <w:i/>
          <w:iCs/>
          <w:color w:val="000000" w:themeColor="text1"/>
          <w:sz w:val="22"/>
          <w:szCs w:val="22"/>
        </w:rPr>
      </w:pPr>
    </w:p>
    <w:p w14:paraId="7E41EA36" w14:textId="77777777" w:rsidR="00227D4A" w:rsidRPr="008F4A7F" w:rsidRDefault="00227D4A" w:rsidP="00B078FD">
      <w:pPr>
        <w:tabs>
          <w:tab w:val="left" w:pos="1276"/>
        </w:tabs>
        <w:jc w:val="center"/>
        <w:rPr>
          <w:rFonts w:ascii="Arial" w:hAnsi="Arial" w:cs="Arial"/>
          <w:b/>
          <w:i/>
          <w:iCs/>
          <w:color w:val="000000" w:themeColor="text1"/>
          <w:sz w:val="22"/>
          <w:szCs w:val="22"/>
        </w:rPr>
      </w:pPr>
    </w:p>
    <w:p w14:paraId="6A2B1373" w14:textId="05C78484" w:rsidR="00B078FD" w:rsidRPr="008F4A7F" w:rsidRDefault="000B2170" w:rsidP="00B078FD">
      <w:pPr>
        <w:tabs>
          <w:tab w:val="left" w:pos="1276"/>
        </w:tabs>
        <w:jc w:val="center"/>
        <w:rPr>
          <w:rFonts w:ascii="Arial" w:hAnsi="Arial" w:cs="Arial"/>
          <w:b/>
          <w:color w:val="000000" w:themeColor="text1"/>
          <w:sz w:val="22"/>
          <w:szCs w:val="22"/>
        </w:rPr>
      </w:pPr>
      <w:r w:rsidRPr="008F4A7F">
        <w:rPr>
          <w:rFonts w:ascii="Arial" w:hAnsi="Arial" w:cs="Arial"/>
          <w:b/>
          <w:color w:val="000000" w:themeColor="text1"/>
          <w:sz w:val="22"/>
          <w:szCs w:val="22"/>
        </w:rPr>
        <w:t>LA ALCALDESA MUNICIPAL DE CAJICÁ – CUNDINAMARCA.</w:t>
      </w:r>
    </w:p>
    <w:p w14:paraId="5DEBD23D" w14:textId="77777777" w:rsidR="000B2170" w:rsidRPr="008F4A7F" w:rsidRDefault="000B2170" w:rsidP="00B078FD">
      <w:pPr>
        <w:tabs>
          <w:tab w:val="left" w:pos="1276"/>
        </w:tabs>
        <w:jc w:val="center"/>
        <w:rPr>
          <w:rFonts w:ascii="Arial" w:hAnsi="Arial" w:cs="Arial"/>
          <w:bCs/>
          <w:color w:val="000000" w:themeColor="text1"/>
          <w:sz w:val="22"/>
          <w:szCs w:val="22"/>
        </w:rPr>
      </w:pPr>
    </w:p>
    <w:p w14:paraId="3CF58DE7" w14:textId="6EFD62F7" w:rsidR="000B2170" w:rsidRPr="008F4A7F" w:rsidRDefault="000B2170" w:rsidP="000B2170">
      <w:pPr>
        <w:tabs>
          <w:tab w:val="left" w:pos="1276"/>
        </w:tabs>
        <w:jc w:val="both"/>
        <w:rPr>
          <w:rFonts w:ascii="Arial" w:hAnsi="Arial" w:cs="Arial"/>
          <w:bCs/>
          <w:color w:val="000000" w:themeColor="text1"/>
          <w:sz w:val="22"/>
          <w:szCs w:val="22"/>
        </w:rPr>
      </w:pPr>
      <w:r w:rsidRPr="008F4A7F">
        <w:rPr>
          <w:rFonts w:ascii="Arial" w:hAnsi="Arial" w:cs="Arial"/>
          <w:bCs/>
          <w:color w:val="000000" w:themeColor="text1"/>
          <w:sz w:val="22"/>
          <w:szCs w:val="22"/>
        </w:rPr>
        <w:t>En uso de sus atribuciones Constitucionales y Legales, en especial las conferidas por el artículo 12 de la Ley 1437 de 2011 Código de Procedimiento Administrativo y de lo Contencioso Administrativo</w:t>
      </w:r>
      <w:r w:rsidR="00C81B1D">
        <w:rPr>
          <w:rFonts w:ascii="Arial" w:hAnsi="Arial" w:cs="Arial"/>
          <w:bCs/>
          <w:color w:val="000000" w:themeColor="text1"/>
          <w:sz w:val="22"/>
          <w:szCs w:val="22"/>
        </w:rPr>
        <w:t xml:space="preserve">, </w:t>
      </w:r>
      <w:r w:rsidR="00C81B1D" w:rsidRPr="00C81B1D">
        <w:rPr>
          <w:rFonts w:ascii="Arial" w:eastAsia="Times New Roman" w:hAnsi="Arial" w:cs="Arial"/>
          <w:color w:val="000000" w:themeColor="text1"/>
          <w:sz w:val="22"/>
          <w:szCs w:val="22"/>
        </w:rPr>
        <w:t>el artículo 229 de la Ley 1801 de 2016 y demás normas concordantes,</w:t>
      </w:r>
    </w:p>
    <w:p w14:paraId="6DCEDE93" w14:textId="77777777" w:rsidR="000B2170" w:rsidRDefault="000B2170" w:rsidP="00B078FD">
      <w:pPr>
        <w:tabs>
          <w:tab w:val="left" w:pos="1276"/>
        </w:tabs>
        <w:jc w:val="center"/>
        <w:rPr>
          <w:rFonts w:ascii="Arial" w:hAnsi="Arial" w:cs="Arial"/>
          <w:b/>
          <w:color w:val="000000" w:themeColor="text1"/>
          <w:sz w:val="22"/>
          <w:szCs w:val="22"/>
        </w:rPr>
      </w:pPr>
    </w:p>
    <w:p w14:paraId="73BCCABA" w14:textId="77777777" w:rsidR="00227D4A" w:rsidRPr="008F4A7F" w:rsidRDefault="00227D4A" w:rsidP="00B078FD">
      <w:pPr>
        <w:tabs>
          <w:tab w:val="left" w:pos="1276"/>
        </w:tabs>
        <w:jc w:val="center"/>
        <w:rPr>
          <w:rFonts w:ascii="Arial" w:hAnsi="Arial" w:cs="Arial"/>
          <w:b/>
          <w:color w:val="000000" w:themeColor="text1"/>
          <w:sz w:val="22"/>
          <w:szCs w:val="22"/>
        </w:rPr>
      </w:pPr>
    </w:p>
    <w:p w14:paraId="11960F0D" w14:textId="26C00A39" w:rsidR="00B078FD" w:rsidRPr="001E1C2A" w:rsidRDefault="000B2170" w:rsidP="000B2170">
      <w:pPr>
        <w:jc w:val="center"/>
        <w:rPr>
          <w:rFonts w:ascii="Arial" w:eastAsia="Batang" w:hAnsi="Arial" w:cs="Arial"/>
          <w:b/>
          <w:color w:val="000000" w:themeColor="text1"/>
          <w:sz w:val="22"/>
          <w:szCs w:val="22"/>
          <w:lang w:val="es-ES_tradnl"/>
        </w:rPr>
      </w:pPr>
      <w:r w:rsidRPr="001E1C2A">
        <w:rPr>
          <w:rFonts w:ascii="Arial" w:eastAsia="Batang" w:hAnsi="Arial" w:cs="Arial"/>
          <w:b/>
          <w:color w:val="000000" w:themeColor="text1"/>
          <w:sz w:val="22"/>
          <w:szCs w:val="22"/>
          <w:lang w:val="es-ES_tradnl"/>
        </w:rPr>
        <w:t>CONSIDERA</w:t>
      </w:r>
      <w:r w:rsidR="00E1419A">
        <w:rPr>
          <w:rFonts w:ascii="Arial" w:eastAsia="Batang" w:hAnsi="Arial" w:cs="Arial"/>
          <w:b/>
          <w:color w:val="000000" w:themeColor="text1"/>
          <w:sz w:val="22"/>
          <w:szCs w:val="22"/>
          <w:lang w:val="es-ES_tradnl"/>
        </w:rPr>
        <w:t>NDO</w:t>
      </w:r>
    </w:p>
    <w:p w14:paraId="2CCAFE85" w14:textId="77777777" w:rsidR="00C5375F" w:rsidRDefault="00C5375F" w:rsidP="003A3BE4">
      <w:pPr>
        <w:jc w:val="both"/>
        <w:rPr>
          <w:rFonts w:ascii="Arial" w:eastAsia="Times New Roman" w:hAnsi="Arial" w:cs="Arial"/>
          <w:color w:val="000000" w:themeColor="text1"/>
          <w:sz w:val="22"/>
          <w:szCs w:val="22"/>
        </w:rPr>
      </w:pPr>
    </w:p>
    <w:p w14:paraId="41F4FD2C" w14:textId="3E5367B2" w:rsidR="00C81B1D" w:rsidRPr="00C81B1D" w:rsidRDefault="00C81B1D" w:rsidP="00C81B1D">
      <w:pPr>
        <w:pStyle w:val="Prrafodelista"/>
        <w:numPr>
          <w:ilvl w:val="0"/>
          <w:numId w:val="8"/>
        </w:numPr>
        <w:rPr>
          <w:rFonts w:ascii="Arial" w:eastAsia="Times New Roman" w:hAnsi="Arial" w:cs="Arial"/>
          <w:b/>
          <w:bCs/>
          <w:color w:val="000000" w:themeColor="text1"/>
        </w:rPr>
      </w:pPr>
      <w:r w:rsidRPr="00C81B1D">
        <w:rPr>
          <w:rFonts w:ascii="Arial" w:eastAsia="Times New Roman" w:hAnsi="Arial" w:cs="Arial"/>
          <w:b/>
          <w:bCs/>
          <w:color w:val="000000" w:themeColor="text1"/>
        </w:rPr>
        <w:t>ANTECEDENTES</w:t>
      </w:r>
    </w:p>
    <w:p w14:paraId="56020D1D" w14:textId="77777777" w:rsidR="00C81B1D" w:rsidRDefault="00C81B1D" w:rsidP="00C81B1D">
      <w:pPr>
        <w:jc w:val="both"/>
        <w:rPr>
          <w:rFonts w:ascii="Arial" w:eastAsia="Times New Roman" w:hAnsi="Arial" w:cs="Arial"/>
          <w:color w:val="000000" w:themeColor="text1"/>
          <w:sz w:val="22"/>
          <w:szCs w:val="22"/>
        </w:rPr>
      </w:pPr>
    </w:p>
    <w:p w14:paraId="6EA152F4" w14:textId="298E5FE8"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Que mediante Memorando No. AMC-SDG-IP2-0146-2026 del veintidós (22) de junio de dos mil veintiséis (2026), el doctor ALEXANDER FORERO FORERO, en su condición de Inspector Segundo de Policía del Municipio de Cajicá, presentó solicitud de impedimento para continuar conociendo de los Procesos Verbales Abreviados identificados con los radicados CCC-001-2025, CCC-002-2025, CCIU-001-2025 y CCIU-002-2025, solicitando a esta autoridad administrativa resolver sobre la procedencia de su separación del conocimiento de dichos asuntos.</w:t>
      </w:r>
    </w:p>
    <w:p w14:paraId="3DA50068" w14:textId="77777777" w:rsidR="00C81B1D" w:rsidRPr="00C81B1D" w:rsidRDefault="00C81B1D" w:rsidP="00C81B1D">
      <w:pPr>
        <w:jc w:val="both"/>
        <w:rPr>
          <w:rFonts w:ascii="Arial" w:eastAsia="Times New Roman" w:hAnsi="Arial" w:cs="Arial"/>
          <w:color w:val="000000" w:themeColor="text1"/>
          <w:sz w:val="22"/>
          <w:szCs w:val="22"/>
        </w:rPr>
      </w:pPr>
    </w:p>
    <w:p w14:paraId="3DF84FE7" w14:textId="77777777"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Como fundamento de su petición, el funcionario expuso de manera cronológica las actuaciones adelantadas dentro de cada uno de los procesos policivos, indicando que estos le fueron asignados como consecuencia de un impedimento previamente aceptado respecto de la Inspectora Tercera de Policía, razón por la cual asumió el conocimiento de las respectivas actuaciones administrativas.</w:t>
      </w:r>
    </w:p>
    <w:p w14:paraId="6504327C" w14:textId="77777777" w:rsidR="00C81B1D" w:rsidRPr="00C81B1D" w:rsidRDefault="00C81B1D" w:rsidP="00C81B1D">
      <w:pPr>
        <w:jc w:val="both"/>
        <w:rPr>
          <w:rFonts w:ascii="Arial" w:eastAsia="Times New Roman" w:hAnsi="Arial" w:cs="Arial"/>
          <w:color w:val="000000" w:themeColor="text1"/>
          <w:sz w:val="22"/>
          <w:szCs w:val="22"/>
        </w:rPr>
      </w:pPr>
    </w:p>
    <w:p w14:paraId="7A1E3518" w14:textId="77777777"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Manifestó igualmente que, con ocasión de la forma en que se han adelantado dichos procedimientos, la Personería Municipal de Cajicá inició actuación disciplinaria en su contra mediante el Expediente Disciplinario No. 011-2026, investigación que tiene por objeto verificar la existencia de presuntas irregularidades relacionadas con el trámite de los expedientes CCC-001-2025 y CCC-002-2025.</w:t>
      </w:r>
    </w:p>
    <w:p w14:paraId="57680B08" w14:textId="77777777" w:rsidR="00C81B1D" w:rsidRPr="00C81B1D" w:rsidRDefault="00C81B1D" w:rsidP="00C81B1D">
      <w:pPr>
        <w:jc w:val="both"/>
        <w:rPr>
          <w:rFonts w:ascii="Arial" w:eastAsia="Times New Roman" w:hAnsi="Arial" w:cs="Arial"/>
          <w:color w:val="000000" w:themeColor="text1"/>
          <w:sz w:val="22"/>
          <w:szCs w:val="22"/>
        </w:rPr>
      </w:pPr>
    </w:p>
    <w:p w14:paraId="73E7D44C" w14:textId="77777777"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Indicó que la apertura de dicha actuación disciplinaria, aunada a las recusaciones presentadas por algunos de los intervinientes dentro de los procesos policivos, constituye una circunstancia que, a su juicio, compromete las garantías de imparcialidad que deben regir el ejercicio de la función administrativa, razón por la cual considera procedente apartarse del conocimiento de los mencionados expedientes.</w:t>
      </w:r>
    </w:p>
    <w:p w14:paraId="2D3714E7" w14:textId="77777777" w:rsidR="00C81B1D" w:rsidRPr="00C81B1D" w:rsidRDefault="00C81B1D" w:rsidP="00C81B1D">
      <w:pPr>
        <w:jc w:val="both"/>
        <w:rPr>
          <w:rFonts w:ascii="Arial" w:eastAsia="Times New Roman" w:hAnsi="Arial" w:cs="Arial"/>
          <w:color w:val="000000" w:themeColor="text1"/>
          <w:sz w:val="22"/>
          <w:szCs w:val="22"/>
        </w:rPr>
      </w:pPr>
    </w:p>
    <w:p w14:paraId="1FC86E1C" w14:textId="77777777"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De igual manera señaló que la continuidad de su actuación dentro de dichos procedimientos podría generar cuestionamientos respecto de la objetividad con la cual deben adoptarse las decisiones administrativas, motivo por el cual solicita que el impedimento sea declarado fundado y, en consecuencia, se designe funcionario competente para continuar con el conocimiento de las actuaciones.</w:t>
      </w:r>
    </w:p>
    <w:p w14:paraId="19CD78EA" w14:textId="77777777" w:rsidR="00C81B1D" w:rsidRPr="00C81B1D" w:rsidRDefault="00C81B1D" w:rsidP="00C81B1D">
      <w:pPr>
        <w:jc w:val="both"/>
        <w:rPr>
          <w:rFonts w:ascii="Arial" w:eastAsia="Times New Roman" w:hAnsi="Arial" w:cs="Arial"/>
          <w:color w:val="000000" w:themeColor="text1"/>
          <w:sz w:val="22"/>
          <w:szCs w:val="22"/>
        </w:rPr>
      </w:pPr>
    </w:p>
    <w:p w14:paraId="6734DD72" w14:textId="77777777" w:rsidR="00C81B1D"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 xml:space="preserve">Revisado el contenido integral del Memorando AMC-SDG-IP2-0146-2026, se observa que el fundamento esencial de la solicitud consiste en la existencia de una investigación disciplinaria actualmente adelantada por la Personería Municipal relacionada con </w:t>
      </w:r>
      <w:r w:rsidRPr="00C81B1D">
        <w:rPr>
          <w:rFonts w:ascii="Arial" w:eastAsia="Times New Roman" w:hAnsi="Arial" w:cs="Arial"/>
          <w:color w:val="000000" w:themeColor="text1"/>
          <w:sz w:val="22"/>
          <w:szCs w:val="22"/>
        </w:rPr>
        <w:lastRenderedPageBreak/>
        <w:t>actuaciones surtidas dentro de los mismos expedientes policivos cuya competencia actualmente ostenta el Inspector Segundo de Policía.</w:t>
      </w:r>
    </w:p>
    <w:p w14:paraId="1087FB2F" w14:textId="77777777" w:rsidR="00C81B1D" w:rsidRPr="00C81B1D" w:rsidRDefault="00C81B1D" w:rsidP="00C81B1D">
      <w:pPr>
        <w:jc w:val="both"/>
        <w:rPr>
          <w:rFonts w:ascii="Arial" w:eastAsia="Times New Roman" w:hAnsi="Arial" w:cs="Arial"/>
          <w:color w:val="000000" w:themeColor="text1"/>
          <w:sz w:val="22"/>
          <w:szCs w:val="22"/>
        </w:rPr>
      </w:pPr>
    </w:p>
    <w:p w14:paraId="0B88AE06" w14:textId="72203DDF" w:rsidR="001E1C2A" w:rsidRDefault="00C81B1D" w:rsidP="00C81B1D">
      <w:pPr>
        <w:jc w:val="both"/>
        <w:rPr>
          <w:rFonts w:ascii="Arial" w:eastAsia="Times New Roman" w:hAnsi="Arial" w:cs="Arial"/>
          <w:color w:val="000000" w:themeColor="text1"/>
          <w:sz w:val="22"/>
          <w:szCs w:val="22"/>
        </w:rPr>
      </w:pPr>
      <w:r w:rsidRPr="00C81B1D">
        <w:rPr>
          <w:rFonts w:ascii="Arial" w:eastAsia="Times New Roman" w:hAnsi="Arial" w:cs="Arial"/>
          <w:color w:val="000000" w:themeColor="text1"/>
          <w:sz w:val="22"/>
          <w:szCs w:val="22"/>
        </w:rPr>
        <w:t>Corresponde entonces a este Despacho determinar si las circunstancias expuestas por el servidor público configuran alguna de las causales taxativas de impedimento previstas por el artículo 11 de la Ley 1437 de 2011, aplicable a los procedimientos policivos por remisión expresa del artículo 229 de la Ley 1801 de 2016, o si, por el contrario, las razones invocadas corresponden a circunstancias ajenas al régimen legal de impedimentos y recusaciones, debiendo el funcionario continuar ejerciendo la competencia legalmente asignada.</w:t>
      </w:r>
    </w:p>
    <w:p w14:paraId="79CD55AF" w14:textId="77777777" w:rsidR="00137664" w:rsidRDefault="00137664" w:rsidP="00C01EFE">
      <w:pPr>
        <w:jc w:val="both"/>
        <w:rPr>
          <w:rFonts w:ascii="Arial" w:hAnsi="Arial" w:cs="Arial"/>
          <w:sz w:val="22"/>
          <w:szCs w:val="22"/>
        </w:rPr>
      </w:pPr>
    </w:p>
    <w:p w14:paraId="67130925" w14:textId="52C437B9" w:rsidR="00C81B1D" w:rsidRPr="00C81B1D" w:rsidRDefault="00C81B1D" w:rsidP="00C81B1D">
      <w:pPr>
        <w:pStyle w:val="Prrafodelista"/>
        <w:numPr>
          <w:ilvl w:val="0"/>
          <w:numId w:val="8"/>
        </w:numPr>
        <w:rPr>
          <w:rFonts w:ascii="Arial" w:hAnsi="Arial" w:cs="Arial"/>
          <w:b/>
          <w:bCs/>
        </w:rPr>
      </w:pPr>
      <w:r w:rsidRPr="00C81B1D">
        <w:rPr>
          <w:rFonts w:ascii="Arial" w:hAnsi="Arial" w:cs="Arial"/>
          <w:b/>
          <w:bCs/>
        </w:rPr>
        <w:t>MARCO JURÍDICO</w:t>
      </w:r>
    </w:p>
    <w:p w14:paraId="1D7ACFAA" w14:textId="77777777" w:rsidR="00C81B1D" w:rsidRDefault="00C81B1D" w:rsidP="00C81B1D">
      <w:pPr>
        <w:jc w:val="both"/>
        <w:rPr>
          <w:rFonts w:ascii="Arial" w:hAnsi="Arial" w:cs="Arial"/>
          <w:sz w:val="22"/>
          <w:szCs w:val="22"/>
        </w:rPr>
      </w:pPr>
    </w:p>
    <w:p w14:paraId="6052BF55" w14:textId="382C7B16" w:rsidR="00C81B1D" w:rsidRPr="00C81B1D" w:rsidRDefault="00C81B1D" w:rsidP="00C81B1D">
      <w:pPr>
        <w:jc w:val="both"/>
        <w:rPr>
          <w:rFonts w:ascii="Arial" w:hAnsi="Arial" w:cs="Arial"/>
          <w:b/>
          <w:bCs/>
          <w:sz w:val="22"/>
          <w:szCs w:val="22"/>
        </w:rPr>
      </w:pPr>
      <w:r w:rsidRPr="00C81B1D">
        <w:rPr>
          <w:rFonts w:ascii="Arial" w:hAnsi="Arial" w:cs="Arial"/>
          <w:b/>
          <w:bCs/>
          <w:sz w:val="22"/>
          <w:szCs w:val="22"/>
        </w:rPr>
        <w:t>Competencia para resolver el impedimento</w:t>
      </w:r>
    </w:p>
    <w:p w14:paraId="71AA204A" w14:textId="77777777" w:rsidR="00C81B1D" w:rsidRDefault="00C81B1D" w:rsidP="00C81B1D">
      <w:pPr>
        <w:jc w:val="both"/>
        <w:rPr>
          <w:rFonts w:ascii="Arial" w:hAnsi="Arial" w:cs="Arial"/>
          <w:sz w:val="22"/>
          <w:szCs w:val="22"/>
        </w:rPr>
      </w:pPr>
    </w:p>
    <w:p w14:paraId="6183197C" w14:textId="5AF7DB6F" w:rsidR="00C81B1D" w:rsidRPr="00C81B1D" w:rsidRDefault="00C81B1D" w:rsidP="00C81B1D">
      <w:pPr>
        <w:jc w:val="both"/>
        <w:rPr>
          <w:rFonts w:ascii="Arial" w:hAnsi="Arial" w:cs="Arial"/>
          <w:sz w:val="22"/>
          <w:szCs w:val="22"/>
        </w:rPr>
      </w:pPr>
      <w:r w:rsidRPr="00C81B1D">
        <w:rPr>
          <w:rFonts w:ascii="Arial" w:hAnsi="Arial" w:cs="Arial"/>
          <w:sz w:val="22"/>
          <w:szCs w:val="22"/>
        </w:rPr>
        <w:t>Corresponde a la Alcaldesa Municipal de Cajicá resolver la solicitud de impedimento formulada por el Inspector Segundo de Policía, en su condición de superior funcional y autoridad nominadora dentro de la estructura administrativa municipal.</w:t>
      </w:r>
    </w:p>
    <w:p w14:paraId="3E7BF805" w14:textId="77777777" w:rsidR="00C81B1D" w:rsidRDefault="00C81B1D" w:rsidP="00C81B1D">
      <w:pPr>
        <w:jc w:val="both"/>
        <w:rPr>
          <w:rFonts w:ascii="Arial" w:hAnsi="Arial" w:cs="Arial"/>
          <w:sz w:val="22"/>
          <w:szCs w:val="22"/>
        </w:rPr>
      </w:pPr>
    </w:p>
    <w:p w14:paraId="7D75A2AE" w14:textId="26A5B776" w:rsidR="00C81B1D" w:rsidRPr="00C81B1D" w:rsidRDefault="00C81B1D" w:rsidP="00C81B1D">
      <w:pPr>
        <w:jc w:val="both"/>
        <w:rPr>
          <w:rFonts w:ascii="Arial" w:hAnsi="Arial" w:cs="Arial"/>
          <w:sz w:val="22"/>
          <w:szCs w:val="22"/>
        </w:rPr>
      </w:pPr>
      <w:r w:rsidRPr="00C81B1D">
        <w:rPr>
          <w:rFonts w:ascii="Arial" w:hAnsi="Arial" w:cs="Arial"/>
          <w:sz w:val="22"/>
          <w:szCs w:val="22"/>
        </w:rPr>
        <w:t>El artículo 12 de la Ley 1437 de 2011 establece que cuando un servidor público manifieste encontrarse incurso en alguna de las causales de impedimento previstas en el artículo 11 ibidem, remitirá inmediatamente la actuación al superior, quien decidirá de plano acerca de la procedencia del impedimento y, de encontrarlo fundado, designará quien deba continuar conociendo del asunto.</w:t>
      </w:r>
    </w:p>
    <w:p w14:paraId="0E12900C" w14:textId="77777777" w:rsidR="00C81B1D" w:rsidRDefault="00C81B1D" w:rsidP="00C81B1D">
      <w:pPr>
        <w:jc w:val="both"/>
        <w:rPr>
          <w:rFonts w:ascii="Arial" w:hAnsi="Arial" w:cs="Arial"/>
          <w:sz w:val="22"/>
          <w:szCs w:val="22"/>
        </w:rPr>
      </w:pPr>
    </w:p>
    <w:p w14:paraId="24EED7FC" w14:textId="34E69C9A" w:rsidR="00C81B1D" w:rsidRPr="00C81B1D" w:rsidRDefault="00C81B1D" w:rsidP="00C81B1D">
      <w:pPr>
        <w:jc w:val="both"/>
        <w:rPr>
          <w:rFonts w:ascii="Arial" w:hAnsi="Arial" w:cs="Arial"/>
          <w:sz w:val="22"/>
          <w:szCs w:val="22"/>
        </w:rPr>
      </w:pPr>
      <w:r w:rsidRPr="00C81B1D">
        <w:rPr>
          <w:rFonts w:ascii="Arial" w:hAnsi="Arial" w:cs="Arial"/>
          <w:sz w:val="22"/>
          <w:szCs w:val="22"/>
        </w:rPr>
        <w:t>Por su parte, el artículo 229 de la Ley 1801 de 2016 dispone expresamente que en materia de impedimentos y recusaciones dentro de los procedimientos policivos serán aplicables las disposiciones previstas en el Código de Procedimiento Administrativo y de lo Contencioso Administrativo, razón por la cual el régimen contenido en los artículos 11 y 12 del CPACA constituye el parámetro normativo para resolver la presente solicitud.</w:t>
      </w:r>
    </w:p>
    <w:p w14:paraId="482DEAE7" w14:textId="77777777" w:rsidR="00C81B1D" w:rsidRDefault="00C81B1D" w:rsidP="00C81B1D">
      <w:pPr>
        <w:jc w:val="both"/>
        <w:rPr>
          <w:rFonts w:ascii="Arial" w:hAnsi="Arial" w:cs="Arial"/>
          <w:sz w:val="22"/>
          <w:szCs w:val="22"/>
        </w:rPr>
      </w:pPr>
    </w:p>
    <w:p w14:paraId="79E0B23D" w14:textId="792CD680" w:rsidR="00C81B1D" w:rsidRDefault="00C81B1D" w:rsidP="00C81B1D">
      <w:pPr>
        <w:jc w:val="both"/>
        <w:rPr>
          <w:rFonts w:ascii="Arial" w:hAnsi="Arial" w:cs="Arial"/>
          <w:sz w:val="22"/>
          <w:szCs w:val="22"/>
        </w:rPr>
      </w:pPr>
      <w:r w:rsidRPr="00C81B1D">
        <w:rPr>
          <w:rFonts w:ascii="Arial" w:hAnsi="Arial" w:cs="Arial"/>
          <w:sz w:val="22"/>
          <w:szCs w:val="22"/>
        </w:rPr>
        <w:t>En consecuencia, esta Alcaldía es la autoridad competente para determinar si las circunstancias expuestas por el Inspector Segundo de Policía configuran alguna de las causales legales que justifiquen su separación del conocimiento de los procesos verbales abreviados objeto del presente pronunciamiento.</w:t>
      </w:r>
    </w:p>
    <w:p w14:paraId="31593CB3" w14:textId="77777777" w:rsidR="00C81B1D" w:rsidRPr="00C81B1D" w:rsidRDefault="00C81B1D" w:rsidP="00C81B1D">
      <w:pPr>
        <w:jc w:val="both"/>
        <w:rPr>
          <w:rFonts w:ascii="Arial" w:hAnsi="Arial" w:cs="Arial"/>
          <w:sz w:val="22"/>
          <w:szCs w:val="22"/>
        </w:rPr>
      </w:pPr>
    </w:p>
    <w:p w14:paraId="3C22CA3E" w14:textId="3D16D943" w:rsidR="00C81B1D" w:rsidRPr="00C81B1D" w:rsidRDefault="00C81B1D" w:rsidP="00C81B1D">
      <w:pPr>
        <w:pStyle w:val="Prrafodelista"/>
        <w:numPr>
          <w:ilvl w:val="0"/>
          <w:numId w:val="8"/>
        </w:numPr>
        <w:rPr>
          <w:rFonts w:ascii="Arial" w:hAnsi="Arial" w:cs="Arial"/>
          <w:b/>
          <w:bCs/>
        </w:rPr>
      </w:pPr>
      <w:r w:rsidRPr="00C81B1D">
        <w:rPr>
          <w:rFonts w:ascii="Arial" w:hAnsi="Arial" w:cs="Arial"/>
          <w:b/>
          <w:bCs/>
        </w:rPr>
        <w:t>RÉGIMEN LEGAL DE LOS IMPEDIMENTOS Y RECUSACIONES</w:t>
      </w:r>
    </w:p>
    <w:p w14:paraId="3CC71900" w14:textId="77777777" w:rsidR="00C81B1D" w:rsidRDefault="00C81B1D" w:rsidP="00C81B1D">
      <w:pPr>
        <w:jc w:val="both"/>
        <w:rPr>
          <w:rFonts w:ascii="Arial" w:hAnsi="Arial" w:cs="Arial"/>
          <w:sz w:val="22"/>
          <w:szCs w:val="22"/>
        </w:rPr>
      </w:pPr>
    </w:p>
    <w:p w14:paraId="1DB57E93" w14:textId="477A6024" w:rsidR="00C81B1D" w:rsidRPr="00C81B1D" w:rsidRDefault="00C81B1D" w:rsidP="00C81B1D">
      <w:pPr>
        <w:jc w:val="both"/>
        <w:rPr>
          <w:rFonts w:ascii="Arial" w:hAnsi="Arial" w:cs="Arial"/>
          <w:sz w:val="22"/>
          <w:szCs w:val="22"/>
        </w:rPr>
      </w:pPr>
      <w:r w:rsidRPr="00C81B1D">
        <w:rPr>
          <w:rFonts w:ascii="Arial" w:hAnsi="Arial" w:cs="Arial"/>
          <w:sz w:val="22"/>
          <w:szCs w:val="22"/>
        </w:rPr>
        <w:t>El ordenamiento jurídico colombiano estructura el régimen de impedimentos y recusaciones como un mecanismo excepcional dirigido a garantizar que el ejercicio de la función administrativa se desarrolle con plena observancia de los principios constitucionales de imparcialidad, transparencia, moralidad, igualdad, objetividad y debido proceso.</w:t>
      </w:r>
    </w:p>
    <w:p w14:paraId="5AD2620D" w14:textId="77777777" w:rsidR="00C81B1D" w:rsidRDefault="00C81B1D" w:rsidP="00C81B1D">
      <w:pPr>
        <w:jc w:val="both"/>
        <w:rPr>
          <w:rFonts w:ascii="Arial" w:hAnsi="Arial" w:cs="Arial"/>
          <w:sz w:val="22"/>
          <w:szCs w:val="22"/>
        </w:rPr>
      </w:pPr>
    </w:p>
    <w:p w14:paraId="56C57CE8" w14:textId="16A53441" w:rsidR="00C81B1D" w:rsidRPr="00C81B1D" w:rsidRDefault="00C81B1D" w:rsidP="00C81B1D">
      <w:pPr>
        <w:jc w:val="both"/>
        <w:rPr>
          <w:rFonts w:ascii="Arial" w:hAnsi="Arial" w:cs="Arial"/>
          <w:sz w:val="22"/>
          <w:szCs w:val="22"/>
        </w:rPr>
      </w:pPr>
      <w:r w:rsidRPr="00C81B1D">
        <w:rPr>
          <w:rFonts w:ascii="Arial" w:hAnsi="Arial" w:cs="Arial"/>
          <w:sz w:val="22"/>
          <w:szCs w:val="22"/>
        </w:rPr>
        <w:t>En tal sentido, el artículo 209 de la Constitución Política dispone que la función administrativa se encuentra al servicio de los intereses generales y debe desarrollarse con fundamento, entre otros principios, en la igualdad, moralidad, eficacia, economía, celeridad, imparcialidad y publicidad.</w:t>
      </w:r>
    </w:p>
    <w:p w14:paraId="6289E604" w14:textId="77777777" w:rsidR="00C81B1D" w:rsidRDefault="00C81B1D" w:rsidP="00C81B1D">
      <w:pPr>
        <w:jc w:val="both"/>
        <w:rPr>
          <w:rFonts w:ascii="Arial" w:hAnsi="Arial" w:cs="Arial"/>
          <w:sz w:val="22"/>
          <w:szCs w:val="22"/>
        </w:rPr>
      </w:pPr>
    </w:p>
    <w:p w14:paraId="7155B043" w14:textId="54086EA7" w:rsidR="00C81B1D" w:rsidRPr="00C81B1D" w:rsidRDefault="00C81B1D" w:rsidP="00C81B1D">
      <w:pPr>
        <w:jc w:val="both"/>
        <w:rPr>
          <w:rFonts w:ascii="Arial" w:hAnsi="Arial" w:cs="Arial"/>
          <w:sz w:val="22"/>
          <w:szCs w:val="22"/>
        </w:rPr>
      </w:pPr>
      <w:r w:rsidRPr="00C81B1D">
        <w:rPr>
          <w:rFonts w:ascii="Arial" w:hAnsi="Arial" w:cs="Arial"/>
          <w:sz w:val="22"/>
          <w:szCs w:val="22"/>
        </w:rPr>
        <w:t>A su vez, el artículo 29 Superior garantiza el derecho fundamental al debido proceso en todas las actuaciones administrativas y judiciales, derecho que comprende el deber de que las decisiones sean adoptadas por autoridades competentes e imparciales.</w:t>
      </w:r>
    </w:p>
    <w:p w14:paraId="37599250" w14:textId="77777777" w:rsidR="00C81B1D" w:rsidRDefault="00C81B1D" w:rsidP="00C81B1D">
      <w:pPr>
        <w:jc w:val="both"/>
        <w:rPr>
          <w:rFonts w:ascii="Arial" w:hAnsi="Arial" w:cs="Arial"/>
          <w:sz w:val="22"/>
          <w:szCs w:val="22"/>
        </w:rPr>
      </w:pPr>
    </w:p>
    <w:p w14:paraId="7F57EE53" w14:textId="5F4A1020" w:rsidR="00C81B1D" w:rsidRPr="00C81B1D" w:rsidRDefault="00C81B1D" w:rsidP="00C81B1D">
      <w:pPr>
        <w:jc w:val="both"/>
        <w:rPr>
          <w:rFonts w:ascii="Arial" w:hAnsi="Arial" w:cs="Arial"/>
          <w:sz w:val="22"/>
          <w:szCs w:val="22"/>
        </w:rPr>
      </w:pPr>
      <w:r w:rsidRPr="00C81B1D">
        <w:rPr>
          <w:rFonts w:ascii="Arial" w:hAnsi="Arial" w:cs="Arial"/>
          <w:sz w:val="22"/>
          <w:szCs w:val="22"/>
        </w:rPr>
        <w:t>En desarrollo de dichos postulados constitucionales, el artículo 11 de la Ley 1437 de 2011 consagró las causales de impedimento y recusación aplicables a toda actuación administrativa, estableciendo de manera expresa las circunstancias bajo las cuales un servidor público debe apartarse del conocimiento de un asunto.</w:t>
      </w:r>
    </w:p>
    <w:p w14:paraId="2578E237" w14:textId="77777777" w:rsidR="00C81B1D" w:rsidRDefault="00C81B1D" w:rsidP="00C81B1D">
      <w:pPr>
        <w:jc w:val="both"/>
        <w:rPr>
          <w:rFonts w:ascii="Arial" w:hAnsi="Arial" w:cs="Arial"/>
          <w:sz w:val="22"/>
          <w:szCs w:val="22"/>
        </w:rPr>
      </w:pPr>
    </w:p>
    <w:p w14:paraId="6B5EED3F" w14:textId="024ED61E" w:rsidR="00C81B1D" w:rsidRPr="00C81B1D" w:rsidRDefault="00C81B1D" w:rsidP="00C81B1D">
      <w:pPr>
        <w:jc w:val="both"/>
        <w:rPr>
          <w:rFonts w:ascii="Arial" w:hAnsi="Arial" w:cs="Arial"/>
          <w:sz w:val="22"/>
          <w:szCs w:val="22"/>
        </w:rPr>
      </w:pPr>
      <w:r w:rsidRPr="00C81B1D">
        <w:rPr>
          <w:rFonts w:ascii="Arial" w:hAnsi="Arial" w:cs="Arial"/>
          <w:sz w:val="22"/>
          <w:szCs w:val="22"/>
        </w:rPr>
        <w:t xml:space="preserve">Las causales previstas por el legislador comprenden situaciones objetivas relacionadas con la existencia de intereses personales, vínculos familiares, relaciones jurídicas, conceptos </w:t>
      </w:r>
      <w:r w:rsidRPr="00C81B1D">
        <w:rPr>
          <w:rFonts w:ascii="Arial" w:hAnsi="Arial" w:cs="Arial"/>
          <w:sz w:val="22"/>
          <w:szCs w:val="22"/>
        </w:rPr>
        <w:lastRenderedPageBreak/>
        <w:t>emitidos previamente, participación anterior en el asunto o circunstancias que puedan comprometer de manera directa la objetividad del funcionario.</w:t>
      </w:r>
    </w:p>
    <w:p w14:paraId="58E411EA" w14:textId="77777777" w:rsidR="00C81B1D" w:rsidRDefault="00C81B1D" w:rsidP="00C81B1D">
      <w:pPr>
        <w:jc w:val="both"/>
        <w:rPr>
          <w:rFonts w:ascii="Arial" w:hAnsi="Arial" w:cs="Arial"/>
          <w:sz w:val="22"/>
          <w:szCs w:val="22"/>
        </w:rPr>
      </w:pPr>
    </w:p>
    <w:p w14:paraId="33C076E9" w14:textId="298B1CFE" w:rsidR="00C81B1D" w:rsidRPr="00C81B1D" w:rsidRDefault="00C81B1D" w:rsidP="00C81B1D">
      <w:pPr>
        <w:jc w:val="both"/>
        <w:rPr>
          <w:rFonts w:ascii="Arial" w:hAnsi="Arial" w:cs="Arial"/>
          <w:sz w:val="22"/>
          <w:szCs w:val="22"/>
        </w:rPr>
      </w:pPr>
      <w:r w:rsidRPr="00C81B1D">
        <w:rPr>
          <w:rFonts w:ascii="Arial" w:hAnsi="Arial" w:cs="Arial"/>
          <w:sz w:val="22"/>
          <w:szCs w:val="22"/>
        </w:rPr>
        <w:t>La finalidad de esta regulación consiste en preservar la confianza de los administrados en la imparcialidad de las decisiones estatales y evitar que circunstancias personales del funcionario afecten la objetividad que debe caracterizar toda actuación administrativa.</w:t>
      </w:r>
    </w:p>
    <w:p w14:paraId="799E8735" w14:textId="77777777" w:rsidR="00C81B1D" w:rsidRPr="00C81B1D" w:rsidRDefault="00C81B1D" w:rsidP="00C81B1D">
      <w:pPr>
        <w:jc w:val="both"/>
        <w:rPr>
          <w:rFonts w:ascii="Arial" w:hAnsi="Arial" w:cs="Arial"/>
          <w:b/>
          <w:bCs/>
          <w:sz w:val="22"/>
          <w:szCs w:val="22"/>
        </w:rPr>
      </w:pPr>
      <w:r w:rsidRPr="00C81B1D">
        <w:rPr>
          <w:rFonts w:ascii="Arial" w:hAnsi="Arial" w:cs="Arial"/>
          <w:b/>
          <w:bCs/>
          <w:sz w:val="22"/>
          <w:szCs w:val="22"/>
        </w:rPr>
        <w:t>Naturaleza jurídica del impedimento</w:t>
      </w:r>
    </w:p>
    <w:p w14:paraId="767928C3" w14:textId="77777777" w:rsidR="00C81B1D" w:rsidRDefault="00C81B1D" w:rsidP="00C81B1D">
      <w:pPr>
        <w:jc w:val="both"/>
        <w:rPr>
          <w:rFonts w:ascii="Arial" w:hAnsi="Arial" w:cs="Arial"/>
          <w:sz w:val="22"/>
          <w:szCs w:val="22"/>
        </w:rPr>
      </w:pPr>
    </w:p>
    <w:p w14:paraId="51B5EFCB" w14:textId="40902F73" w:rsidR="00C81B1D" w:rsidRPr="00C81B1D" w:rsidRDefault="00C81B1D" w:rsidP="00C81B1D">
      <w:pPr>
        <w:jc w:val="both"/>
        <w:rPr>
          <w:rFonts w:ascii="Arial" w:hAnsi="Arial" w:cs="Arial"/>
          <w:sz w:val="22"/>
          <w:szCs w:val="22"/>
        </w:rPr>
      </w:pPr>
      <w:r w:rsidRPr="00C81B1D">
        <w:rPr>
          <w:rFonts w:ascii="Arial" w:hAnsi="Arial" w:cs="Arial"/>
          <w:sz w:val="22"/>
          <w:szCs w:val="22"/>
        </w:rPr>
        <w:t>La figura del impedimento constituye una institución procesal de carácter excepcional mediante la cual el propio servidor público manifiesta la existencia de una circunstancia prevista expresamente por la ley que le impide continuar ejerciendo la competencia atribuida para conocer de un determinado asunto.</w:t>
      </w:r>
    </w:p>
    <w:p w14:paraId="0E60EAB7" w14:textId="77777777" w:rsidR="00C81B1D" w:rsidRDefault="00C81B1D" w:rsidP="00C81B1D">
      <w:pPr>
        <w:jc w:val="both"/>
        <w:rPr>
          <w:rFonts w:ascii="Arial" w:hAnsi="Arial" w:cs="Arial"/>
          <w:sz w:val="22"/>
          <w:szCs w:val="22"/>
        </w:rPr>
      </w:pPr>
    </w:p>
    <w:p w14:paraId="4BBD1C08" w14:textId="211DC6D0" w:rsidR="00C81B1D" w:rsidRPr="00C81B1D" w:rsidRDefault="00C81B1D" w:rsidP="00C81B1D">
      <w:pPr>
        <w:jc w:val="both"/>
        <w:rPr>
          <w:rFonts w:ascii="Arial" w:hAnsi="Arial" w:cs="Arial"/>
          <w:sz w:val="22"/>
          <w:szCs w:val="22"/>
        </w:rPr>
      </w:pPr>
      <w:r w:rsidRPr="00C81B1D">
        <w:rPr>
          <w:rFonts w:ascii="Arial" w:hAnsi="Arial" w:cs="Arial"/>
          <w:sz w:val="22"/>
          <w:szCs w:val="22"/>
        </w:rPr>
        <w:t>No se trata de una facultad discrecional del funcionario ni de un mecanismo para apartarse libremente del ejercicio de sus funciones, sino de un deber legal que únicamente surge cuando concurre de manera objetiva alguna de las causales previstas por el legislador.</w:t>
      </w:r>
    </w:p>
    <w:p w14:paraId="5897B86D" w14:textId="77777777" w:rsidR="00C81B1D" w:rsidRDefault="00C81B1D" w:rsidP="00C81B1D">
      <w:pPr>
        <w:jc w:val="both"/>
        <w:rPr>
          <w:rFonts w:ascii="Arial" w:hAnsi="Arial" w:cs="Arial"/>
          <w:sz w:val="22"/>
          <w:szCs w:val="22"/>
        </w:rPr>
      </w:pPr>
    </w:p>
    <w:p w14:paraId="30E93E37" w14:textId="37191718" w:rsidR="00C81B1D" w:rsidRPr="00C81B1D" w:rsidRDefault="00C81B1D" w:rsidP="00C81B1D">
      <w:pPr>
        <w:jc w:val="both"/>
        <w:rPr>
          <w:rFonts w:ascii="Arial" w:hAnsi="Arial" w:cs="Arial"/>
          <w:sz w:val="22"/>
          <w:szCs w:val="22"/>
        </w:rPr>
      </w:pPr>
      <w:r w:rsidRPr="00C81B1D">
        <w:rPr>
          <w:rFonts w:ascii="Arial" w:hAnsi="Arial" w:cs="Arial"/>
          <w:sz w:val="22"/>
          <w:szCs w:val="22"/>
        </w:rPr>
        <w:t>En consecuencia, la simple percepción subjetiva del funcionario acerca de una eventual afectación de su imparcialidad no resulta suficiente para configurar un impedimento, pues la procedencia de esta institución exige la acreditación de alguno de los eventos expresamente contemplados por la ley.</w:t>
      </w:r>
    </w:p>
    <w:p w14:paraId="1C2A6B64" w14:textId="77777777" w:rsidR="00C81B1D" w:rsidRDefault="00C81B1D" w:rsidP="00C81B1D">
      <w:pPr>
        <w:jc w:val="both"/>
        <w:rPr>
          <w:rFonts w:ascii="Arial" w:hAnsi="Arial" w:cs="Arial"/>
          <w:sz w:val="22"/>
          <w:szCs w:val="22"/>
        </w:rPr>
      </w:pPr>
    </w:p>
    <w:p w14:paraId="7F049F9D" w14:textId="28889E37" w:rsidR="00C81B1D" w:rsidRDefault="00C81B1D" w:rsidP="00C81B1D">
      <w:pPr>
        <w:jc w:val="both"/>
        <w:rPr>
          <w:rFonts w:ascii="Arial" w:hAnsi="Arial" w:cs="Arial"/>
          <w:sz w:val="22"/>
          <w:szCs w:val="22"/>
        </w:rPr>
      </w:pPr>
      <w:r w:rsidRPr="00C81B1D">
        <w:rPr>
          <w:rFonts w:ascii="Arial" w:hAnsi="Arial" w:cs="Arial"/>
          <w:sz w:val="22"/>
          <w:szCs w:val="22"/>
        </w:rPr>
        <w:t>Precisamente por tratarse de una excepción al principio constitucional del ejercicio obligatorio de la competencia administrativa, los impedimentos solamente proceden cuando existe plena correspondencia entre los hechos expuestos y las causales legales previstas por el artículo 11 del Código de Procedimiento Administrativo y de lo Contencioso Administrativo.</w:t>
      </w:r>
    </w:p>
    <w:p w14:paraId="54199FA7" w14:textId="77777777" w:rsidR="00C81B1D" w:rsidRPr="00C81B1D" w:rsidRDefault="00C81B1D" w:rsidP="00C81B1D">
      <w:pPr>
        <w:jc w:val="both"/>
        <w:rPr>
          <w:rFonts w:ascii="Arial" w:hAnsi="Arial" w:cs="Arial"/>
          <w:sz w:val="22"/>
          <w:szCs w:val="22"/>
        </w:rPr>
      </w:pPr>
    </w:p>
    <w:p w14:paraId="6F6C4FDB" w14:textId="69905D82" w:rsidR="00C81B1D" w:rsidRPr="00C81B1D" w:rsidRDefault="00C81B1D" w:rsidP="00C81B1D">
      <w:pPr>
        <w:pStyle w:val="Prrafodelista"/>
        <w:numPr>
          <w:ilvl w:val="0"/>
          <w:numId w:val="8"/>
        </w:numPr>
        <w:rPr>
          <w:rFonts w:ascii="Arial" w:hAnsi="Arial" w:cs="Arial"/>
          <w:b/>
          <w:bCs/>
        </w:rPr>
      </w:pPr>
      <w:r w:rsidRPr="00C81B1D">
        <w:rPr>
          <w:rFonts w:ascii="Arial" w:hAnsi="Arial" w:cs="Arial"/>
          <w:b/>
          <w:bCs/>
        </w:rPr>
        <w:t>CARÁCTER TAXATIVO Y RESTRICTIVO DE LAS CAUSALES DE IMPEDIMENTO</w:t>
      </w:r>
    </w:p>
    <w:p w14:paraId="2C55905F" w14:textId="77777777" w:rsidR="00C81B1D" w:rsidRDefault="00C81B1D" w:rsidP="00C81B1D">
      <w:pPr>
        <w:jc w:val="both"/>
        <w:rPr>
          <w:rFonts w:ascii="Arial" w:hAnsi="Arial" w:cs="Arial"/>
          <w:sz w:val="22"/>
          <w:szCs w:val="22"/>
        </w:rPr>
      </w:pPr>
    </w:p>
    <w:p w14:paraId="29406E22" w14:textId="760EAED1" w:rsidR="00C81B1D" w:rsidRPr="00C81B1D" w:rsidRDefault="00C81B1D" w:rsidP="00C81B1D">
      <w:pPr>
        <w:jc w:val="both"/>
        <w:rPr>
          <w:rFonts w:ascii="Arial" w:hAnsi="Arial" w:cs="Arial"/>
          <w:sz w:val="22"/>
          <w:szCs w:val="22"/>
        </w:rPr>
      </w:pPr>
      <w:r w:rsidRPr="00C81B1D">
        <w:rPr>
          <w:rFonts w:ascii="Arial" w:hAnsi="Arial" w:cs="Arial"/>
          <w:sz w:val="22"/>
          <w:szCs w:val="22"/>
        </w:rPr>
        <w:t>La Corte Constitucional ha sostenido de manera reiterada que las causales de impedimento y recusación son de interpretación estricta, por cuanto constituyen excepciones al deber constitucional que tienen los servidores públicos de ejercer las competencias que les han sido asignadas.</w:t>
      </w:r>
    </w:p>
    <w:p w14:paraId="2AFFB0EC" w14:textId="77777777" w:rsidR="00C81B1D" w:rsidRDefault="00C81B1D" w:rsidP="00C81B1D">
      <w:pPr>
        <w:jc w:val="both"/>
        <w:rPr>
          <w:rFonts w:ascii="Arial" w:hAnsi="Arial" w:cs="Arial"/>
          <w:sz w:val="22"/>
          <w:szCs w:val="22"/>
        </w:rPr>
      </w:pPr>
    </w:p>
    <w:p w14:paraId="27CDE5A5" w14:textId="43C9AD07" w:rsidR="00C81B1D" w:rsidRPr="00C81B1D" w:rsidRDefault="00C81B1D" w:rsidP="00C81B1D">
      <w:pPr>
        <w:jc w:val="both"/>
        <w:rPr>
          <w:rFonts w:ascii="Arial" w:hAnsi="Arial" w:cs="Arial"/>
          <w:sz w:val="22"/>
          <w:szCs w:val="22"/>
        </w:rPr>
      </w:pPr>
      <w:r w:rsidRPr="00C81B1D">
        <w:rPr>
          <w:rFonts w:ascii="Arial" w:hAnsi="Arial" w:cs="Arial"/>
          <w:sz w:val="22"/>
          <w:szCs w:val="22"/>
        </w:rPr>
        <w:t>En la Sentencia C-573 de 1998 la Corte precisó que el propósito de las instituciones de impedimentos y recusaciones consiste en asegurar la imparcialidad del funcionario mediante la configuración de causales previamente determinadas por el legislador, las cuales no pueden ampliarse mediante interpretaciones extensivas o analógicas.</w:t>
      </w:r>
    </w:p>
    <w:p w14:paraId="79F555EB" w14:textId="77777777" w:rsidR="00C81B1D" w:rsidRDefault="00C81B1D" w:rsidP="00C81B1D">
      <w:pPr>
        <w:jc w:val="both"/>
        <w:rPr>
          <w:rFonts w:ascii="Arial" w:hAnsi="Arial" w:cs="Arial"/>
          <w:sz w:val="22"/>
          <w:szCs w:val="22"/>
        </w:rPr>
      </w:pPr>
    </w:p>
    <w:p w14:paraId="20EFB5DF" w14:textId="2E331D3C" w:rsidR="00C81B1D" w:rsidRPr="00C81B1D" w:rsidRDefault="00C81B1D" w:rsidP="00C81B1D">
      <w:pPr>
        <w:jc w:val="both"/>
        <w:rPr>
          <w:rFonts w:ascii="Arial" w:hAnsi="Arial" w:cs="Arial"/>
          <w:sz w:val="22"/>
          <w:szCs w:val="22"/>
        </w:rPr>
      </w:pPr>
      <w:r w:rsidRPr="00C81B1D">
        <w:rPr>
          <w:rFonts w:ascii="Arial" w:hAnsi="Arial" w:cs="Arial"/>
          <w:sz w:val="22"/>
          <w:szCs w:val="22"/>
        </w:rPr>
        <w:t>Posteriormente, en las Sentencias C-881 de 2011 y C-496 de 2016, la Corporación reiteró que el impedimento constituye una facultad excepcional que permite al funcionario apartarse del conocimiento de un asunto únicamente cuando se encuentre acreditada una de las causales legalmente previstas, advirtiendo que su interpretación debe realizarse de manera restrictiva para evitar que dicha institución se convierta en un mecanismo que limite injustificadamente el ejercicio de la función pública o el acceso efectivo a la administración de justicia.</w:t>
      </w:r>
    </w:p>
    <w:p w14:paraId="6F1D9D90" w14:textId="77777777" w:rsidR="00C81B1D" w:rsidRDefault="00C81B1D" w:rsidP="00C81B1D">
      <w:pPr>
        <w:jc w:val="both"/>
        <w:rPr>
          <w:rFonts w:ascii="Arial" w:hAnsi="Arial" w:cs="Arial"/>
          <w:sz w:val="22"/>
          <w:szCs w:val="22"/>
        </w:rPr>
      </w:pPr>
    </w:p>
    <w:p w14:paraId="2720F811" w14:textId="53EE1161" w:rsidR="00C81B1D" w:rsidRPr="00C81B1D" w:rsidRDefault="00C81B1D" w:rsidP="00C81B1D">
      <w:pPr>
        <w:jc w:val="both"/>
        <w:rPr>
          <w:rFonts w:ascii="Arial" w:hAnsi="Arial" w:cs="Arial"/>
          <w:sz w:val="22"/>
          <w:szCs w:val="22"/>
        </w:rPr>
      </w:pPr>
      <w:r w:rsidRPr="00C81B1D">
        <w:rPr>
          <w:rFonts w:ascii="Arial" w:hAnsi="Arial" w:cs="Arial"/>
          <w:sz w:val="22"/>
          <w:szCs w:val="22"/>
        </w:rPr>
        <w:t>En igual sentido, el Consejo de Estado ha señalado de manera uniforme que las causales de impedimento son de carácter taxativo y no admiten interpretaciones analógicas.</w:t>
      </w:r>
    </w:p>
    <w:p w14:paraId="53D7E4E5" w14:textId="77777777" w:rsidR="00C81B1D" w:rsidRDefault="00C81B1D" w:rsidP="00C81B1D">
      <w:pPr>
        <w:jc w:val="both"/>
        <w:rPr>
          <w:rFonts w:ascii="Arial" w:hAnsi="Arial" w:cs="Arial"/>
          <w:sz w:val="22"/>
          <w:szCs w:val="22"/>
        </w:rPr>
      </w:pPr>
    </w:p>
    <w:p w14:paraId="36D965AA" w14:textId="5E3289A8" w:rsidR="00C81B1D" w:rsidRPr="00C81B1D" w:rsidRDefault="00C81B1D" w:rsidP="00C81B1D">
      <w:pPr>
        <w:jc w:val="both"/>
        <w:rPr>
          <w:rFonts w:ascii="Arial" w:hAnsi="Arial" w:cs="Arial"/>
          <w:sz w:val="22"/>
          <w:szCs w:val="22"/>
        </w:rPr>
      </w:pPr>
      <w:r w:rsidRPr="00C81B1D">
        <w:rPr>
          <w:rFonts w:ascii="Arial" w:hAnsi="Arial" w:cs="Arial"/>
          <w:sz w:val="22"/>
          <w:szCs w:val="22"/>
        </w:rPr>
        <w:t>La Sala Plena de lo Contencioso Administrativo ha indicado que el interés que da lugar al impedimento debe ser particular, directo, cierto, actual y jurídicamente relevante, de manera que produzca un beneficio o perjuicio inmediato para el servidor público o para las personas expresamente señaladas por la ley.</w:t>
      </w:r>
    </w:p>
    <w:p w14:paraId="52066972" w14:textId="77777777" w:rsidR="00C81B1D" w:rsidRDefault="00C81B1D" w:rsidP="00C81B1D">
      <w:pPr>
        <w:jc w:val="both"/>
        <w:rPr>
          <w:rFonts w:ascii="Arial" w:hAnsi="Arial" w:cs="Arial"/>
          <w:sz w:val="22"/>
          <w:szCs w:val="22"/>
        </w:rPr>
      </w:pPr>
    </w:p>
    <w:p w14:paraId="4D1DFB28" w14:textId="1C75107E" w:rsidR="00C81B1D" w:rsidRPr="00C81B1D" w:rsidRDefault="00C81B1D" w:rsidP="00C81B1D">
      <w:pPr>
        <w:jc w:val="both"/>
        <w:rPr>
          <w:rFonts w:ascii="Arial" w:hAnsi="Arial" w:cs="Arial"/>
          <w:sz w:val="22"/>
          <w:szCs w:val="22"/>
        </w:rPr>
      </w:pPr>
      <w:r w:rsidRPr="00C81B1D">
        <w:rPr>
          <w:rFonts w:ascii="Arial" w:hAnsi="Arial" w:cs="Arial"/>
          <w:sz w:val="22"/>
          <w:szCs w:val="22"/>
        </w:rPr>
        <w:lastRenderedPageBreak/>
        <w:t>En esa misma línea, la Sección Primera del Consejo de Estado ha precisado que no cualquier circunstancia que genere incomodidad, expectativa, preocupación o cuestionamiento sobre la actuación administrativa constituye un interés directo en los términos del numeral primero del artículo 11 del CPACA, pues resulta indispensable que exista una afectación jurídica concreta derivada del resultado mismo de la decisión administrativa.</w:t>
      </w:r>
    </w:p>
    <w:p w14:paraId="5FC17600" w14:textId="77777777" w:rsidR="00C81B1D" w:rsidRDefault="00C81B1D" w:rsidP="00C81B1D">
      <w:pPr>
        <w:jc w:val="both"/>
        <w:rPr>
          <w:rFonts w:ascii="Arial" w:hAnsi="Arial" w:cs="Arial"/>
          <w:sz w:val="22"/>
          <w:szCs w:val="22"/>
        </w:rPr>
      </w:pPr>
    </w:p>
    <w:p w14:paraId="6AB3ED69" w14:textId="5B0812AE" w:rsidR="00C81B1D" w:rsidRDefault="00C81B1D" w:rsidP="00C81B1D">
      <w:pPr>
        <w:jc w:val="both"/>
        <w:rPr>
          <w:rFonts w:ascii="Arial" w:hAnsi="Arial" w:cs="Arial"/>
          <w:sz w:val="22"/>
          <w:szCs w:val="22"/>
        </w:rPr>
      </w:pPr>
      <w:r w:rsidRPr="00C81B1D">
        <w:rPr>
          <w:rFonts w:ascii="Arial" w:hAnsi="Arial" w:cs="Arial"/>
          <w:sz w:val="22"/>
          <w:szCs w:val="22"/>
        </w:rPr>
        <w:t>De igual manera, la jurisprudencia ha reconocido que la finalidad de los impedimentos no consiste en proteger percepciones subjetivas del funcionario sino garantizar objetivamente la imparcialidad de la actuación administrativa, razón por la cual únicamente las circunstancias expresamente previstas por el legislador permiten separar válidamente al servidor público del ejercicio de la competencia que le ha sido atribuida por la ley.</w:t>
      </w:r>
    </w:p>
    <w:p w14:paraId="398C8884" w14:textId="5F5DFA48" w:rsidR="00C81B1D" w:rsidRDefault="00C81B1D" w:rsidP="00C81B1D">
      <w:pPr>
        <w:pStyle w:val="NormalWeb"/>
        <w:numPr>
          <w:ilvl w:val="0"/>
          <w:numId w:val="8"/>
        </w:numPr>
        <w:jc w:val="both"/>
        <w:rPr>
          <w:rFonts w:ascii="Arial" w:hAnsi="Arial" w:cs="Arial"/>
          <w:b/>
          <w:bCs/>
          <w:color w:val="000000" w:themeColor="text1"/>
          <w:sz w:val="22"/>
          <w:szCs w:val="22"/>
          <w:lang w:val="es-CO" w:eastAsia="es-CO"/>
        </w:rPr>
      </w:pPr>
      <w:r w:rsidRPr="00C81B1D">
        <w:rPr>
          <w:rFonts w:ascii="Arial" w:hAnsi="Arial" w:cs="Arial"/>
          <w:b/>
          <w:bCs/>
          <w:color w:val="000000" w:themeColor="text1"/>
          <w:sz w:val="22"/>
          <w:szCs w:val="22"/>
          <w:lang w:val="es-CO" w:eastAsia="es-CO"/>
        </w:rPr>
        <w:t>DEL CASO CONCRETO</w:t>
      </w:r>
    </w:p>
    <w:p w14:paraId="4BDFDAEA" w14:textId="10FC4916" w:rsidR="00C81B1D" w:rsidRPr="00C81B1D" w:rsidRDefault="00C81B1D" w:rsidP="00C81B1D">
      <w:pPr>
        <w:pStyle w:val="NormalWeb"/>
        <w:jc w:val="both"/>
        <w:rPr>
          <w:rFonts w:ascii="Arial" w:hAnsi="Arial" w:cs="Arial"/>
          <w:b/>
          <w:bCs/>
          <w:color w:val="000000" w:themeColor="text1"/>
          <w:sz w:val="22"/>
          <w:szCs w:val="22"/>
          <w:lang w:val="es-CO" w:eastAsia="es-CO"/>
        </w:rPr>
      </w:pPr>
      <w:r w:rsidRPr="00C81B1D">
        <w:rPr>
          <w:rFonts w:ascii="Arial" w:hAnsi="Arial" w:cs="Arial"/>
          <w:color w:val="000000" w:themeColor="text1"/>
          <w:sz w:val="22"/>
          <w:szCs w:val="22"/>
          <w:lang w:val="es-CO" w:eastAsia="es-CO"/>
        </w:rPr>
        <w:t>Corresponde a este Despacho establecer si las circunstancias expuestas por el doctor ALEXANDER FORERO FORERO, Inspector Segundo de Policía del Municipio de Cajicá, constituyen alguna de las causales de impedimento previstas en el artículo 11 de la Ley 1437 de 2011, aplicable al procedimiento verbal abreviado de policía por expresa remisión del artículo 229 de la Ley 1801 de 2016.</w:t>
      </w:r>
    </w:p>
    <w:p w14:paraId="65DE31E6"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Para tal efecto, resulta indispensable precisar que el análisis de procedencia de un impedimento no puede fundarse en apreciaciones subjetivas del funcionario, en criterios de conveniencia administrativa o en eventuales percepciones sobre la confianza de los administrados, sino exclusivamente en la verificación objetiva de las causales legales expresamente previstas por el legislador.</w:t>
      </w:r>
    </w:p>
    <w:p w14:paraId="182D3E2B"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consecuencia, la decisión debe circunscribirse a determinar si los hechos invocados por el servidor público encuadran materialmente en alguna de las hipótesis previstas por el artículo 11 del Código de Procedimiento Administrativo y de lo Contencioso Administrativo.</w:t>
      </w:r>
    </w:p>
    <w:p w14:paraId="1AB6A388" w14:textId="77777777" w:rsidR="00C81B1D" w:rsidRPr="00C81B1D" w:rsidRDefault="00C81B1D" w:rsidP="00C81B1D">
      <w:pPr>
        <w:pStyle w:val="NormalWeb"/>
        <w:jc w:val="both"/>
        <w:rPr>
          <w:rFonts w:ascii="Arial" w:hAnsi="Arial" w:cs="Arial"/>
          <w:b/>
          <w:bCs/>
          <w:color w:val="000000" w:themeColor="text1"/>
          <w:sz w:val="22"/>
          <w:szCs w:val="22"/>
          <w:lang w:val="es-CO" w:eastAsia="es-CO"/>
        </w:rPr>
      </w:pPr>
      <w:r w:rsidRPr="00C81B1D">
        <w:rPr>
          <w:rFonts w:ascii="Arial" w:hAnsi="Arial" w:cs="Arial"/>
          <w:b/>
          <w:bCs/>
          <w:color w:val="000000" w:themeColor="text1"/>
          <w:sz w:val="22"/>
          <w:szCs w:val="22"/>
          <w:lang w:val="es-CO" w:eastAsia="es-CO"/>
        </w:rPr>
        <w:t>5.1. Inexistencia de interés particular y directo</w:t>
      </w:r>
    </w:p>
    <w:p w14:paraId="6BAC5CD0"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El fundamento principal del impedimento radica en que actualmente cursa una investigación disciplinaria adelantada por la Personería Municipal de Cajicá, relacionada con actuaciones surtidas dentro de los procesos verbales abreviados cuya competencia conserva el Inspector Segundo de Policía.</w:t>
      </w:r>
    </w:p>
    <w:p w14:paraId="4E71918C"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Sin embargo, dicha circunstancia no configura el supuesto previsto en el numeral 1 del artículo 11 del CPACA, según el cual constituye causal de impedimento tener un interés particular y directo en la regulación, gestión, control o decisión del asunto.</w:t>
      </w:r>
    </w:p>
    <w:p w14:paraId="75E9769B"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La jurisprudencia del Consejo de Estado ha precisado que el interés exigido por la norma debe reunir unas características específicas: ha de ser personal, cierto, actual, concreto y jurídicamente relevante, de tal manera que la decisión administrativa produzca un beneficio o un perjuicio inmediato para el servidor público o para las personas expresamente determinadas por la ley.</w:t>
      </w:r>
    </w:p>
    <w:p w14:paraId="187814D8"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el asunto objeto de estudio no se evidencia que el Inspector Segundo de Policía obtenga un beneficio jurídico personal derivado de la decisión que deba adoptarse dentro de los procesos policivos, ni que el sentido de la decisión modifique de manera inmediata su situación jurídica.</w:t>
      </w:r>
    </w:p>
    <w:p w14:paraId="51C45199"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La eventual incidencia que las actuaciones administrativas puedan tener dentro de la investigación disciplinaria constituye una consecuencia indirecta y eventual, mas no un interés jurídico directo sobre el objeto del proceso policivo.</w:t>
      </w:r>
    </w:p>
    <w:p w14:paraId="737B3E16"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lastRenderedPageBreak/>
        <w:t>Debe diferenciarse claramente entre el interés personal exigido por la causal legal y la existencia de un procedimiento disciplinario paralelo. Mientras el primero recae sobre el resultado mismo de la actuación administrativa, el segundo corresponde al ejercicio autónomo de la potestad disciplinaria por parte de una autoridad distinta, con objeto, finalidad y régimen jurídico propios.</w:t>
      </w:r>
    </w:p>
    <w:p w14:paraId="5A09B439"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Por consiguiente, la existencia de una investigación disciplinaria no transforma al servidor público en sujeto interesado dentro del procedimiento administrativo que legalmente le corresponde adelantar.</w:t>
      </w:r>
    </w:p>
    <w:p w14:paraId="4153CDA4" w14:textId="77777777" w:rsidR="00C81B1D" w:rsidRPr="00C81B1D" w:rsidRDefault="00C81B1D" w:rsidP="00C81B1D">
      <w:pPr>
        <w:pStyle w:val="NormalWeb"/>
        <w:jc w:val="both"/>
        <w:rPr>
          <w:rFonts w:ascii="Arial" w:hAnsi="Arial" w:cs="Arial"/>
          <w:b/>
          <w:bCs/>
          <w:color w:val="000000" w:themeColor="text1"/>
          <w:sz w:val="22"/>
          <w:szCs w:val="22"/>
          <w:lang w:val="es-CO" w:eastAsia="es-CO"/>
        </w:rPr>
      </w:pPr>
      <w:r w:rsidRPr="00C81B1D">
        <w:rPr>
          <w:rFonts w:ascii="Arial" w:hAnsi="Arial" w:cs="Arial"/>
          <w:b/>
          <w:bCs/>
          <w:color w:val="000000" w:themeColor="text1"/>
          <w:sz w:val="22"/>
          <w:szCs w:val="22"/>
          <w:lang w:val="es-CO" w:eastAsia="es-CO"/>
        </w:rPr>
        <w:t>5.2. La investigación disciplinaria no constituye causal autónoma de impedimento</w:t>
      </w:r>
    </w:p>
    <w:p w14:paraId="4704EBBD"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El escrito de impedimento parte de la premisa según la cual la apertura de una investigación disciplinaria compromete automáticamente la imparcialidad del funcionario.</w:t>
      </w:r>
    </w:p>
    <w:p w14:paraId="65A49216" w14:textId="35BF9017" w:rsidR="00C81B1D" w:rsidRPr="00C81B1D" w:rsidRDefault="00C81B1D" w:rsidP="00C81B1D">
      <w:pPr>
        <w:pStyle w:val="NormalWeb"/>
        <w:jc w:val="both"/>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Al respecto es preciso indicar que n</w:t>
      </w:r>
      <w:r w:rsidRPr="00C81B1D">
        <w:rPr>
          <w:rFonts w:ascii="Arial" w:hAnsi="Arial" w:cs="Arial"/>
          <w:color w:val="000000" w:themeColor="text1"/>
          <w:sz w:val="22"/>
          <w:szCs w:val="22"/>
          <w:lang w:val="es-CO" w:eastAsia="es-CO"/>
        </w:rPr>
        <w:t>i la Ley 1437 de 2011, ni la Ley 1801 de 2016, ni el Código General Disciplinario establecen que la existencia de una investigación disciplinaria constituya causal de impedimento para continuar ejerciendo las funciones propias del cargo</w:t>
      </w:r>
      <w:r>
        <w:rPr>
          <w:rFonts w:ascii="Arial" w:hAnsi="Arial" w:cs="Arial"/>
          <w:color w:val="000000" w:themeColor="text1"/>
          <w:sz w:val="22"/>
          <w:szCs w:val="22"/>
          <w:lang w:val="es-CO" w:eastAsia="es-CO"/>
        </w:rPr>
        <w:t>, a</w:t>
      </w:r>
      <w:r w:rsidRPr="00C81B1D">
        <w:rPr>
          <w:rFonts w:ascii="Arial" w:hAnsi="Arial" w:cs="Arial"/>
          <w:color w:val="000000" w:themeColor="text1"/>
          <w:sz w:val="22"/>
          <w:szCs w:val="22"/>
          <w:lang w:val="es-CO" w:eastAsia="es-CO"/>
        </w:rPr>
        <w:t>ceptar dicha interpretación implicaría incorporar una nueva causal de impedimento no prevista por el legislador, desconociendo el carácter taxativo y restrictivo que la jurisprudencia constitucional ha reconocido a esta institución.</w:t>
      </w:r>
    </w:p>
    <w:p w14:paraId="75853440"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Debe resaltarse, además, que el auto de apertura de investigación disciplinaria constituye un acto de impulso procesal cuyo objeto consiste exclusivamente en verificar la posible ocurrencia de una conducta disciplinariamente relevante y determinar si existen elementos suficientes para formular cargos o disponer el archivo de las diligencias.</w:t>
      </w:r>
    </w:p>
    <w:p w14:paraId="1232686C"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consecuencia, dicho acto no comporta declaración de responsabilidad, no desvirtúa la presunción de inocencia del servidor público ni implica, por sí mismo, una afectación de su capacidad jurídica para ejercer las funciones propias del cargo.</w:t>
      </w:r>
    </w:p>
    <w:p w14:paraId="32DCC3BD"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Mientras no exista decisión definitiva que imponga alguna restricción funcional, el servidor público conserva plenamente las competencias legalmente atribuidas.</w:t>
      </w:r>
    </w:p>
    <w:p w14:paraId="5A4DEE98" w14:textId="77777777" w:rsidR="00C81B1D" w:rsidRPr="00C81B1D" w:rsidRDefault="00C81B1D" w:rsidP="00C81B1D">
      <w:pPr>
        <w:pStyle w:val="NormalWeb"/>
        <w:jc w:val="both"/>
        <w:rPr>
          <w:rFonts w:ascii="Arial" w:hAnsi="Arial" w:cs="Arial"/>
          <w:b/>
          <w:bCs/>
          <w:color w:val="000000" w:themeColor="text1"/>
          <w:sz w:val="22"/>
          <w:szCs w:val="22"/>
          <w:lang w:val="es-CO" w:eastAsia="es-CO"/>
        </w:rPr>
      </w:pPr>
      <w:r w:rsidRPr="00C81B1D">
        <w:rPr>
          <w:rFonts w:ascii="Arial" w:hAnsi="Arial" w:cs="Arial"/>
          <w:b/>
          <w:bCs/>
          <w:color w:val="000000" w:themeColor="text1"/>
          <w:sz w:val="22"/>
          <w:szCs w:val="22"/>
          <w:lang w:val="es-CO" w:eastAsia="es-CO"/>
        </w:rPr>
        <w:t>5.3. La competencia administrativa constituye un deber funcional</w:t>
      </w:r>
    </w:p>
    <w:p w14:paraId="7AC71B40"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La competencia atribuida por la ley a los Inspectores de Policía no constituye una facultad discrecional sino un deber funcional cuyo ejercicio resulta obligatorio.</w:t>
      </w:r>
    </w:p>
    <w:p w14:paraId="436D64E1"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virtud del principio de legalidad administrativa, los servidores públicos solamente pueden apartarse del conocimiento de un asunto cuando concurra una causa legal expresa que justifique la separación de la competencia.</w:t>
      </w:r>
    </w:p>
    <w:p w14:paraId="56C3E487"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Permitir que circunstancias no previstas por el ordenamiento jurídico habiliten al funcionario para abstenerse de ejercer las competencias asignadas supondría desconocer el principio del juez natural administrativo, comprometer la continuidad de la función pública y afectar la eficacia de la administración.</w:t>
      </w:r>
    </w:p>
    <w:p w14:paraId="3422F240"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Por ello, la jurisprudencia ha sido consistente al señalar que el impedimento no puede convertirse en un mecanismo para trasladar competencias con fundamento en apreciaciones personales, expectativas de futuras controversias o situaciones que no correspondan a las causales establecidas por el legislador.</w:t>
      </w:r>
    </w:p>
    <w:p w14:paraId="3BB4479C" w14:textId="77777777" w:rsidR="00C81B1D" w:rsidRPr="00C81B1D" w:rsidRDefault="00C81B1D" w:rsidP="00C81B1D">
      <w:pPr>
        <w:pStyle w:val="NormalWeb"/>
        <w:jc w:val="both"/>
        <w:rPr>
          <w:rFonts w:ascii="Arial" w:hAnsi="Arial" w:cs="Arial"/>
          <w:b/>
          <w:bCs/>
          <w:color w:val="000000" w:themeColor="text1"/>
          <w:sz w:val="22"/>
          <w:szCs w:val="22"/>
          <w:lang w:val="es-CO" w:eastAsia="es-CO"/>
        </w:rPr>
      </w:pPr>
      <w:r w:rsidRPr="00C81B1D">
        <w:rPr>
          <w:rFonts w:ascii="Arial" w:hAnsi="Arial" w:cs="Arial"/>
          <w:b/>
          <w:bCs/>
          <w:color w:val="000000" w:themeColor="text1"/>
          <w:sz w:val="22"/>
          <w:szCs w:val="22"/>
          <w:lang w:val="es-CO" w:eastAsia="es-CO"/>
        </w:rPr>
        <w:t>5.4. Inexistencia de afectación objetiva a la imparcialidad</w:t>
      </w:r>
    </w:p>
    <w:p w14:paraId="0E2BF4A8"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lastRenderedPageBreak/>
        <w:t>El Despacho observa que el Inspector Segundo de Policía manifiesta que la continuación de su actuación podría generar cuestionamientos respecto de la objetividad de las decisiones que deba adoptar.</w:t>
      </w:r>
    </w:p>
    <w:p w14:paraId="4755815C"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No obstante, tales manifestaciones corresponden a apreciaciones subjetivas del funcionario y no acreditan la existencia de una circunstancia objetiva que comprometa su independencia funcional.</w:t>
      </w:r>
    </w:p>
    <w:p w14:paraId="36508655"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La imparcialidad exigida por el ordenamiento jurídico no puede entenderse afectada por la sola existencia de investigaciones disciplinarias, recusaciones formuladas por las partes o inconformidades respecto de actuaciones previamente adelantadas.</w:t>
      </w:r>
    </w:p>
    <w:p w14:paraId="4A3E3189"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Precisamente los procedimientos administrativos incorporan mecanismos de contradicción, recursos, control disciplinario y control judicial destinados a garantizar la legalidad de las decisiones, sin que ello implique la pérdida automática de competencia por parte del funcionario encargado de conocer del asunto.</w:t>
      </w:r>
    </w:p>
    <w:p w14:paraId="4EFF399F"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consecuencia, no encuentra esta autoridad elemento objetivo alguno que permita concluir que el Inspector Segundo de Policía carece de la independencia necesaria para continuar adelantando los procesos verbales abreviados objeto de análisis.</w:t>
      </w:r>
    </w:p>
    <w:p w14:paraId="666C1F49"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Del estudio integral de la solicitud de impedimento se concluye que las circunstancias invocadas por el doctor ALEXANDER FORERO FORERO no encuadran en ninguna de las causales previstas en el artículo 11 de la Ley 1437 de 2011.</w:t>
      </w:r>
    </w:p>
    <w:p w14:paraId="5CF91274" w14:textId="77777777" w:rsidR="00C81B1D" w:rsidRPr="00C81B1D"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La existencia de una investigación disciplinaria adelantada por la Personería Municipal constituye una actuación autónoma e independiente del procedimiento policivo, que no genera por sí misma un interés particular y directo en la decisión administrativa ni compromete objetivamente la imparcialidad exigida para el ejercicio de la función pública.</w:t>
      </w:r>
    </w:p>
    <w:p w14:paraId="249A093F" w14:textId="77777777" w:rsidR="00227D4A" w:rsidRDefault="00C81B1D" w:rsidP="00C81B1D">
      <w:pPr>
        <w:pStyle w:val="NormalWeb"/>
        <w:jc w:val="both"/>
        <w:rPr>
          <w:rFonts w:ascii="Arial" w:hAnsi="Arial" w:cs="Arial"/>
          <w:color w:val="000000" w:themeColor="text1"/>
          <w:sz w:val="22"/>
          <w:szCs w:val="22"/>
          <w:lang w:val="es-CO" w:eastAsia="es-CO"/>
        </w:rPr>
      </w:pPr>
      <w:r w:rsidRPr="00C81B1D">
        <w:rPr>
          <w:rFonts w:ascii="Arial" w:hAnsi="Arial" w:cs="Arial"/>
          <w:color w:val="000000" w:themeColor="text1"/>
          <w:sz w:val="22"/>
          <w:szCs w:val="22"/>
          <w:lang w:val="es-CO" w:eastAsia="es-CO"/>
        </w:rPr>
        <w:t>En consecuencia, al no encontrarse acreditada ninguna de las causales taxativas de impedimento previstas por el ordenamiento jurídico, la solicitud presentada resulta jurídicamente improcedente y el Inspector Segundo de Policía deberá continuar ejerciendo la competencia funcional atribuida por la ley respecto de los procesos verbales abreviados identificados con los radicados CCC-001-2025, CCC-002-2025, CCIU-001-2025 y CCIU-002-2025.</w:t>
      </w:r>
    </w:p>
    <w:p w14:paraId="7C7B3828" w14:textId="4E0EB09B" w:rsidR="002A5AFE" w:rsidRPr="00A37E7A" w:rsidRDefault="002A5AFE" w:rsidP="00C81B1D">
      <w:pPr>
        <w:pStyle w:val="NormalWeb"/>
        <w:jc w:val="both"/>
        <w:rPr>
          <w:sz w:val="22"/>
          <w:szCs w:val="22"/>
        </w:rPr>
      </w:pPr>
      <w:r w:rsidRPr="00A37E7A">
        <w:rPr>
          <w:rFonts w:ascii="Arial" w:hAnsi="Arial" w:cs="Arial"/>
          <w:sz w:val="22"/>
          <w:szCs w:val="22"/>
        </w:rPr>
        <w:t xml:space="preserve">En ese sentido, este Despacho procederá a adoptar la decisión de </w:t>
      </w:r>
      <w:r w:rsidR="00E1419A" w:rsidRPr="00E1419A">
        <w:rPr>
          <w:rFonts w:ascii="Arial" w:hAnsi="Arial" w:cs="Arial"/>
          <w:b/>
          <w:bCs/>
          <w:sz w:val="22"/>
          <w:szCs w:val="22"/>
        </w:rPr>
        <w:t>NO ACEPTAR</w:t>
      </w:r>
      <w:r w:rsidRPr="00A37E7A">
        <w:rPr>
          <w:rFonts w:ascii="Arial" w:hAnsi="Arial" w:cs="Arial"/>
          <w:sz w:val="22"/>
          <w:szCs w:val="22"/>
        </w:rPr>
        <w:t xml:space="preserve"> el impedimento manifestado, de conformidad con lo previsto en la </w:t>
      </w:r>
      <w:r w:rsidRPr="00A37E7A">
        <w:rPr>
          <w:rStyle w:val="whitespace-normal"/>
          <w:rFonts w:ascii="Arial" w:hAnsi="Arial" w:cs="Arial"/>
          <w:sz w:val="22"/>
          <w:szCs w:val="22"/>
        </w:rPr>
        <w:t>Ley 1437 de 2011</w:t>
      </w:r>
      <w:r w:rsidRPr="00A37E7A">
        <w:rPr>
          <w:rFonts w:ascii="Arial" w:hAnsi="Arial" w:cs="Arial"/>
          <w:sz w:val="22"/>
          <w:szCs w:val="22"/>
        </w:rPr>
        <w:t xml:space="preserve">, al </w:t>
      </w:r>
      <w:r w:rsidR="00E1419A" w:rsidRPr="00E1419A">
        <w:rPr>
          <w:rFonts w:ascii="Arial" w:hAnsi="Arial" w:cs="Arial"/>
          <w:b/>
          <w:bCs/>
          <w:sz w:val="22"/>
          <w:szCs w:val="22"/>
        </w:rPr>
        <w:t>NO</w:t>
      </w:r>
      <w:r w:rsidR="00E1419A">
        <w:rPr>
          <w:rFonts w:ascii="Arial" w:hAnsi="Arial" w:cs="Arial"/>
          <w:sz w:val="22"/>
          <w:szCs w:val="22"/>
        </w:rPr>
        <w:t xml:space="preserve"> </w:t>
      </w:r>
      <w:r w:rsidRPr="00A37E7A">
        <w:rPr>
          <w:rFonts w:ascii="Arial" w:hAnsi="Arial" w:cs="Arial"/>
          <w:sz w:val="22"/>
          <w:szCs w:val="22"/>
        </w:rPr>
        <w:t>encontrarse debidamente acreditada una causal legal que comprometa la imparcialidad del funcionario</w:t>
      </w:r>
      <w:r w:rsidRPr="00A37E7A">
        <w:rPr>
          <w:sz w:val="22"/>
          <w:szCs w:val="22"/>
        </w:rPr>
        <w:t>.</w:t>
      </w:r>
    </w:p>
    <w:p w14:paraId="6CC7D847" w14:textId="31C20D0B" w:rsidR="007A4FF9" w:rsidRPr="00A37E7A" w:rsidRDefault="007A4FF9" w:rsidP="007A4FF9">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Que, en mérito de lo expuesto,</w:t>
      </w:r>
    </w:p>
    <w:p w14:paraId="0E8D0C49" w14:textId="2F21285F" w:rsidR="007A4FF9" w:rsidRPr="00A37E7A" w:rsidRDefault="007A4FF9" w:rsidP="007A4FF9">
      <w:pPr>
        <w:shd w:val="clear" w:color="auto" w:fill="FFFFFF"/>
        <w:spacing w:before="100" w:beforeAutospacing="1" w:after="100" w:afterAutospacing="1"/>
        <w:jc w:val="center"/>
        <w:rPr>
          <w:rFonts w:ascii="Arial" w:eastAsia="Times New Roman" w:hAnsi="Arial" w:cs="Arial"/>
          <w:b/>
          <w:bCs/>
          <w:color w:val="000000" w:themeColor="text1"/>
          <w:sz w:val="22"/>
          <w:szCs w:val="22"/>
        </w:rPr>
      </w:pPr>
      <w:r w:rsidRPr="00A37E7A">
        <w:rPr>
          <w:rFonts w:ascii="Arial" w:eastAsia="Times New Roman" w:hAnsi="Arial" w:cs="Arial"/>
          <w:b/>
          <w:bCs/>
          <w:color w:val="000000" w:themeColor="text1"/>
          <w:sz w:val="22"/>
          <w:szCs w:val="22"/>
        </w:rPr>
        <w:t>RESUELVE:</w:t>
      </w:r>
    </w:p>
    <w:p w14:paraId="44D5EA72" w14:textId="77777777" w:rsidR="00227D4A" w:rsidRPr="00227D4A" w:rsidRDefault="007A4FF9" w:rsidP="00227D4A">
      <w:pPr>
        <w:shd w:val="clear" w:color="auto" w:fill="FFFFFF"/>
        <w:spacing w:before="100" w:beforeAutospacing="1" w:after="100" w:afterAutospacing="1"/>
        <w:jc w:val="both"/>
        <w:rPr>
          <w:rFonts w:ascii="Arial" w:hAnsi="Arial" w:cs="Arial"/>
          <w:sz w:val="22"/>
          <w:szCs w:val="22"/>
        </w:rPr>
      </w:pPr>
      <w:r w:rsidRPr="00A37E7A">
        <w:rPr>
          <w:rFonts w:ascii="Arial" w:eastAsia="Times New Roman" w:hAnsi="Arial" w:cs="Arial"/>
          <w:b/>
          <w:bCs/>
          <w:color w:val="000000" w:themeColor="text1"/>
          <w:sz w:val="22"/>
          <w:szCs w:val="22"/>
        </w:rPr>
        <w:t xml:space="preserve">ARTÍCULO 1. </w:t>
      </w:r>
      <w:r w:rsidR="00227D4A" w:rsidRPr="00227D4A">
        <w:rPr>
          <w:rFonts w:ascii="Arial" w:hAnsi="Arial" w:cs="Arial"/>
          <w:b/>
          <w:bCs/>
          <w:sz w:val="22"/>
          <w:szCs w:val="22"/>
        </w:rPr>
        <w:t xml:space="preserve">DECLARAR IMPROCEDENTE </w:t>
      </w:r>
      <w:r w:rsidR="00227D4A" w:rsidRPr="00227D4A">
        <w:rPr>
          <w:rFonts w:ascii="Arial" w:hAnsi="Arial" w:cs="Arial"/>
          <w:sz w:val="22"/>
          <w:szCs w:val="22"/>
        </w:rPr>
        <w:t>el impedimento manifestado por el doctor ALEXANDER FORERO FORERO, identificado como aparece al pie de su firma, en su condición de Inspector Segundo de Policía del Municipio de Cajicá, mediante Memorando No. AMC-SDG-IP2-0146-2026, por las razones ampliamente expuestas en la parte motiva del presente acto administrativo.</w:t>
      </w:r>
    </w:p>
    <w:p w14:paraId="7D1BF9E5" w14:textId="24F1B8BE" w:rsidR="00227D4A" w:rsidRDefault="004E1D74" w:rsidP="004E1D74">
      <w:pPr>
        <w:shd w:val="clear" w:color="auto" w:fill="FFFFFF"/>
        <w:spacing w:before="100" w:beforeAutospacing="1" w:after="100" w:afterAutospacing="1"/>
        <w:jc w:val="both"/>
        <w:rPr>
          <w:rFonts w:ascii="Arial" w:eastAsia="Times New Roman" w:hAnsi="Arial" w:cs="Arial"/>
          <w:b/>
          <w:bCs/>
          <w:color w:val="000000" w:themeColor="text1"/>
          <w:sz w:val="22"/>
          <w:szCs w:val="22"/>
        </w:rPr>
      </w:pPr>
      <w:r w:rsidRPr="00A37E7A">
        <w:rPr>
          <w:rFonts w:ascii="Arial" w:eastAsia="Times New Roman" w:hAnsi="Arial" w:cs="Arial"/>
          <w:b/>
          <w:bCs/>
          <w:color w:val="000000" w:themeColor="text1"/>
          <w:sz w:val="22"/>
          <w:szCs w:val="22"/>
        </w:rPr>
        <w:t xml:space="preserve">ARTÍCULO 2. </w:t>
      </w:r>
      <w:r w:rsidR="00227D4A">
        <w:rPr>
          <w:rFonts w:ascii="Arial" w:hAnsi="Arial" w:cs="Arial"/>
          <w:b/>
          <w:bCs/>
          <w:sz w:val="22"/>
          <w:szCs w:val="22"/>
        </w:rPr>
        <w:t>COMUNI</w:t>
      </w:r>
      <w:r w:rsidR="004C60DC" w:rsidRPr="00A37E7A">
        <w:rPr>
          <w:rFonts w:ascii="Arial" w:hAnsi="Arial" w:cs="Arial"/>
          <w:b/>
          <w:bCs/>
          <w:sz w:val="22"/>
          <w:szCs w:val="22"/>
        </w:rPr>
        <w:t xml:space="preserve">CAR </w:t>
      </w:r>
      <w:r w:rsidR="004C60DC" w:rsidRPr="00A37E7A">
        <w:rPr>
          <w:rFonts w:ascii="Arial" w:hAnsi="Arial" w:cs="Arial"/>
          <w:sz w:val="22"/>
          <w:szCs w:val="22"/>
        </w:rPr>
        <w:t>la presente decisión a</w:t>
      </w:r>
      <w:r w:rsidR="00227D4A">
        <w:rPr>
          <w:rFonts w:ascii="Arial" w:hAnsi="Arial" w:cs="Arial"/>
          <w:sz w:val="22"/>
          <w:szCs w:val="22"/>
        </w:rPr>
        <w:t>l</w:t>
      </w:r>
      <w:r w:rsidR="004C60DC" w:rsidRPr="00A37E7A">
        <w:rPr>
          <w:rFonts w:ascii="Arial" w:hAnsi="Arial" w:cs="Arial"/>
          <w:sz w:val="22"/>
          <w:szCs w:val="22"/>
        </w:rPr>
        <w:t xml:space="preserve"> </w:t>
      </w:r>
      <w:r w:rsidR="00227D4A" w:rsidRPr="00227D4A">
        <w:rPr>
          <w:rFonts w:ascii="Arial" w:hAnsi="Arial" w:cs="Arial"/>
          <w:sz w:val="22"/>
          <w:szCs w:val="22"/>
        </w:rPr>
        <w:t>doctor ALEXANDER FORERO FORERO</w:t>
      </w:r>
      <w:r w:rsidR="00227D4A" w:rsidRPr="00A37E7A">
        <w:rPr>
          <w:rFonts w:ascii="Arial" w:eastAsia="Times New Roman" w:hAnsi="Arial" w:cs="Arial"/>
          <w:b/>
          <w:bCs/>
          <w:color w:val="000000" w:themeColor="text1"/>
          <w:sz w:val="22"/>
          <w:szCs w:val="22"/>
        </w:rPr>
        <w:t xml:space="preserve"> </w:t>
      </w:r>
    </w:p>
    <w:p w14:paraId="35BF7169" w14:textId="14293A34" w:rsidR="00227D4A" w:rsidRDefault="004C60DC" w:rsidP="004E1D74">
      <w:pPr>
        <w:shd w:val="clear" w:color="auto" w:fill="FFFFFF"/>
        <w:spacing w:before="100" w:beforeAutospacing="1" w:after="100" w:afterAutospacing="1"/>
        <w:jc w:val="both"/>
        <w:rPr>
          <w:sz w:val="22"/>
          <w:szCs w:val="22"/>
        </w:rPr>
      </w:pPr>
      <w:r w:rsidRPr="00A37E7A">
        <w:rPr>
          <w:rFonts w:ascii="Arial" w:eastAsia="Times New Roman" w:hAnsi="Arial" w:cs="Arial"/>
          <w:b/>
          <w:bCs/>
          <w:color w:val="000000" w:themeColor="text1"/>
          <w:sz w:val="22"/>
          <w:szCs w:val="22"/>
        </w:rPr>
        <w:lastRenderedPageBreak/>
        <w:t xml:space="preserve">ARTÍCULO </w:t>
      </w:r>
      <w:r w:rsidR="00E1419A">
        <w:rPr>
          <w:rFonts w:ascii="Arial" w:eastAsia="Times New Roman" w:hAnsi="Arial" w:cs="Arial"/>
          <w:b/>
          <w:bCs/>
          <w:color w:val="000000" w:themeColor="text1"/>
          <w:sz w:val="22"/>
          <w:szCs w:val="22"/>
        </w:rPr>
        <w:t>3</w:t>
      </w:r>
      <w:r w:rsidRPr="00A37E7A">
        <w:rPr>
          <w:rFonts w:ascii="Arial" w:eastAsia="Times New Roman" w:hAnsi="Arial" w:cs="Arial"/>
          <w:b/>
          <w:bCs/>
          <w:color w:val="000000" w:themeColor="text1"/>
          <w:sz w:val="22"/>
          <w:szCs w:val="22"/>
        </w:rPr>
        <w:t>.</w:t>
      </w:r>
      <w:r w:rsidRPr="00A37E7A">
        <w:rPr>
          <w:sz w:val="22"/>
          <w:szCs w:val="22"/>
        </w:rPr>
        <w:t xml:space="preserve"> </w:t>
      </w:r>
      <w:r w:rsidR="00227D4A" w:rsidRPr="00227D4A">
        <w:rPr>
          <w:rFonts w:ascii="Arial" w:hAnsi="Arial" w:cs="Arial"/>
          <w:sz w:val="22"/>
          <w:szCs w:val="22"/>
        </w:rPr>
        <w:t>Contra la presente decisión no procede recurso alguno, de conformidad con lo previsto en el inciso final del artículo 12 de la Ley 1437 de 2011, por tratarse de la decisión mediante la cual el superior resuelve un impedimento manifestado por un servidor público.</w:t>
      </w:r>
    </w:p>
    <w:p w14:paraId="5C13D883" w14:textId="626DC9BC" w:rsidR="004C60DC" w:rsidRPr="00227D4A" w:rsidRDefault="00227D4A" w:rsidP="00227D4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b/>
          <w:bCs/>
          <w:color w:val="000000" w:themeColor="text1"/>
          <w:sz w:val="22"/>
          <w:szCs w:val="22"/>
        </w:rPr>
        <w:t xml:space="preserve">ARTÍCULO </w:t>
      </w:r>
      <w:r>
        <w:rPr>
          <w:rFonts w:ascii="Arial" w:eastAsia="Times New Roman" w:hAnsi="Arial" w:cs="Arial"/>
          <w:b/>
          <w:bCs/>
          <w:color w:val="000000" w:themeColor="text1"/>
          <w:sz w:val="22"/>
          <w:szCs w:val="22"/>
        </w:rPr>
        <w:t>4</w:t>
      </w:r>
      <w:r w:rsidRPr="00A37E7A">
        <w:rPr>
          <w:rFonts w:ascii="Arial" w:eastAsia="Times New Roman" w:hAnsi="Arial" w:cs="Arial"/>
          <w:b/>
          <w:bCs/>
          <w:color w:val="000000" w:themeColor="text1"/>
          <w:sz w:val="22"/>
          <w:szCs w:val="22"/>
        </w:rPr>
        <w:t>.</w:t>
      </w:r>
      <w:r w:rsidRPr="00A37E7A">
        <w:rPr>
          <w:sz w:val="22"/>
          <w:szCs w:val="22"/>
        </w:rPr>
        <w:t xml:space="preserve"> </w:t>
      </w:r>
      <w:r w:rsidR="004C60DC" w:rsidRPr="00A37E7A">
        <w:rPr>
          <w:rFonts w:ascii="Arial" w:hAnsi="Arial" w:cs="Arial"/>
          <w:sz w:val="22"/>
          <w:szCs w:val="22"/>
        </w:rPr>
        <w:t>La presente resolución rige a partir de la fecha de su expedición.</w:t>
      </w:r>
    </w:p>
    <w:p w14:paraId="15F6F0AB" w14:textId="4FF0FEA1" w:rsidR="00C52327" w:rsidRPr="00A37E7A" w:rsidRDefault="00D523B7" w:rsidP="00D523B7">
      <w:pPr>
        <w:jc w:val="both"/>
        <w:rPr>
          <w:rFonts w:ascii="Arial" w:hAnsi="Arial" w:cs="Arial"/>
          <w:color w:val="000000" w:themeColor="text1"/>
          <w:sz w:val="22"/>
          <w:szCs w:val="22"/>
        </w:rPr>
      </w:pPr>
      <w:r w:rsidRPr="00A37E7A">
        <w:rPr>
          <w:rFonts w:ascii="Arial" w:hAnsi="Arial" w:cs="Arial"/>
          <w:color w:val="000000" w:themeColor="text1"/>
          <w:sz w:val="22"/>
          <w:szCs w:val="22"/>
        </w:rPr>
        <w:t>Dada en Cajicá a los</w:t>
      </w:r>
      <w:r w:rsidR="002A5AFE" w:rsidRPr="00A37E7A">
        <w:rPr>
          <w:rFonts w:ascii="Arial" w:hAnsi="Arial" w:cs="Arial"/>
          <w:color w:val="000000" w:themeColor="text1"/>
          <w:sz w:val="22"/>
          <w:szCs w:val="22"/>
        </w:rPr>
        <w:t xml:space="preserve"> veinti</w:t>
      </w:r>
      <w:r w:rsidR="00227D4A">
        <w:rPr>
          <w:rFonts w:ascii="Arial" w:hAnsi="Arial" w:cs="Arial"/>
          <w:color w:val="000000" w:themeColor="text1"/>
          <w:sz w:val="22"/>
          <w:szCs w:val="22"/>
        </w:rPr>
        <w:t>cinco</w:t>
      </w:r>
      <w:r w:rsidRPr="00A37E7A">
        <w:rPr>
          <w:rFonts w:ascii="Arial" w:hAnsi="Arial" w:cs="Arial"/>
          <w:color w:val="000000" w:themeColor="text1"/>
          <w:sz w:val="22"/>
          <w:szCs w:val="22"/>
        </w:rPr>
        <w:t xml:space="preserve"> (</w:t>
      </w:r>
      <w:r w:rsidR="002A5AFE" w:rsidRPr="00A37E7A">
        <w:rPr>
          <w:rFonts w:ascii="Arial" w:hAnsi="Arial" w:cs="Arial"/>
          <w:color w:val="000000" w:themeColor="text1"/>
          <w:sz w:val="22"/>
          <w:szCs w:val="22"/>
        </w:rPr>
        <w:t>2</w:t>
      </w:r>
      <w:r w:rsidR="00227D4A">
        <w:rPr>
          <w:rFonts w:ascii="Arial" w:hAnsi="Arial" w:cs="Arial"/>
          <w:color w:val="000000" w:themeColor="text1"/>
          <w:sz w:val="22"/>
          <w:szCs w:val="22"/>
        </w:rPr>
        <w:t>5</w:t>
      </w:r>
      <w:r w:rsidRPr="00A37E7A">
        <w:rPr>
          <w:rFonts w:ascii="Arial" w:hAnsi="Arial" w:cs="Arial"/>
          <w:color w:val="000000" w:themeColor="text1"/>
          <w:sz w:val="22"/>
          <w:szCs w:val="22"/>
        </w:rPr>
        <w:t xml:space="preserve">) días del mes de </w:t>
      </w:r>
      <w:r w:rsidR="00227D4A">
        <w:rPr>
          <w:rFonts w:ascii="Arial" w:hAnsi="Arial" w:cs="Arial"/>
          <w:color w:val="000000" w:themeColor="text1"/>
          <w:sz w:val="22"/>
          <w:szCs w:val="22"/>
        </w:rPr>
        <w:t>juni</w:t>
      </w:r>
      <w:r w:rsidR="004C60DC" w:rsidRPr="00A37E7A">
        <w:rPr>
          <w:rFonts w:ascii="Arial" w:hAnsi="Arial" w:cs="Arial"/>
          <w:color w:val="000000" w:themeColor="text1"/>
          <w:sz w:val="22"/>
          <w:szCs w:val="22"/>
        </w:rPr>
        <w:t>o</w:t>
      </w:r>
      <w:r w:rsidRPr="00A37E7A">
        <w:rPr>
          <w:rFonts w:ascii="Arial" w:hAnsi="Arial" w:cs="Arial"/>
          <w:color w:val="000000" w:themeColor="text1"/>
          <w:sz w:val="22"/>
          <w:szCs w:val="22"/>
        </w:rPr>
        <w:t xml:space="preserve"> de 202</w:t>
      </w:r>
      <w:r w:rsidR="007C1277" w:rsidRPr="00A37E7A">
        <w:rPr>
          <w:rFonts w:ascii="Arial" w:hAnsi="Arial" w:cs="Arial"/>
          <w:color w:val="000000" w:themeColor="text1"/>
          <w:sz w:val="22"/>
          <w:szCs w:val="22"/>
        </w:rPr>
        <w:t>6</w:t>
      </w:r>
    </w:p>
    <w:p w14:paraId="2651DB85" w14:textId="77777777" w:rsidR="00D523B7" w:rsidRPr="00A37E7A" w:rsidRDefault="00D523B7">
      <w:pPr>
        <w:jc w:val="center"/>
        <w:rPr>
          <w:rFonts w:ascii="Arial" w:hAnsi="Arial" w:cs="Arial"/>
          <w:b/>
          <w:color w:val="000000" w:themeColor="text1"/>
          <w:sz w:val="22"/>
          <w:szCs w:val="22"/>
        </w:rPr>
      </w:pPr>
    </w:p>
    <w:p w14:paraId="6FA52C14" w14:textId="77777777" w:rsidR="00B723BF" w:rsidRPr="00A37E7A" w:rsidRDefault="00B723BF">
      <w:pPr>
        <w:jc w:val="center"/>
        <w:rPr>
          <w:rFonts w:ascii="Arial" w:hAnsi="Arial" w:cs="Arial"/>
          <w:b/>
          <w:color w:val="000000" w:themeColor="text1"/>
          <w:sz w:val="22"/>
          <w:szCs w:val="22"/>
        </w:rPr>
      </w:pPr>
    </w:p>
    <w:p w14:paraId="3D7B7F07" w14:textId="1DEABADB" w:rsidR="00C52327" w:rsidRPr="00A37E7A" w:rsidRDefault="00C95621">
      <w:pPr>
        <w:jc w:val="center"/>
        <w:rPr>
          <w:rFonts w:ascii="Arial" w:hAnsi="Arial" w:cs="Arial"/>
          <w:b/>
          <w:color w:val="000000" w:themeColor="text1"/>
          <w:sz w:val="22"/>
          <w:szCs w:val="22"/>
        </w:rPr>
      </w:pPr>
      <w:r w:rsidRPr="00A37E7A">
        <w:rPr>
          <w:rFonts w:ascii="Arial" w:hAnsi="Arial" w:cs="Arial"/>
          <w:b/>
          <w:color w:val="000000" w:themeColor="text1"/>
          <w:sz w:val="22"/>
          <w:szCs w:val="22"/>
        </w:rPr>
        <w:t>COMUNIQUESE</w:t>
      </w:r>
      <w:r w:rsidR="00202AD7" w:rsidRPr="00A37E7A">
        <w:rPr>
          <w:rFonts w:ascii="Arial" w:hAnsi="Arial" w:cs="Arial"/>
          <w:b/>
          <w:color w:val="000000" w:themeColor="text1"/>
          <w:sz w:val="22"/>
          <w:szCs w:val="22"/>
        </w:rPr>
        <w:t xml:space="preserve"> Y CÚMPLASE:</w:t>
      </w:r>
    </w:p>
    <w:p w14:paraId="04EB4746" w14:textId="5119F383" w:rsidR="00D523B7" w:rsidRPr="008F4A7F" w:rsidRDefault="00D523B7">
      <w:pPr>
        <w:jc w:val="center"/>
        <w:rPr>
          <w:rFonts w:ascii="Arial" w:hAnsi="Arial" w:cs="Arial"/>
          <w:b/>
          <w:color w:val="000000" w:themeColor="text1"/>
          <w:sz w:val="22"/>
          <w:szCs w:val="22"/>
        </w:rPr>
      </w:pPr>
    </w:p>
    <w:p w14:paraId="6B9FD36F" w14:textId="6EA985E7" w:rsidR="00D523B7" w:rsidRDefault="00D523B7">
      <w:pPr>
        <w:jc w:val="center"/>
        <w:rPr>
          <w:rFonts w:ascii="Arial" w:hAnsi="Arial" w:cs="Arial"/>
          <w:b/>
          <w:color w:val="000000" w:themeColor="text1"/>
          <w:sz w:val="22"/>
          <w:szCs w:val="22"/>
        </w:rPr>
      </w:pPr>
    </w:p>
    <w:p w14:paraId="7882ED18" w14:textId="77777777" w:rsidR="004C60DC" w:rsidRDefault="004C60DC">
      <w:pPr>
        <w:jc w:val="center"/>
        <w:rPr>
          <w:rFonts w:ascii="Arial" w:hAnsi="Arial" w:cs="Arial"/>
          <w:b/>
          <w:color w:val="000000" w:themeColor="text1"/>
          <w:sz w:val="22"/>
          <w:szCs w:val="22"/>
        </w:rPr>
      </w:pPr>
    </w:p>
    <w:p w14:paraId="3B867D42" w14:textId="77777777" w:rsidR="007C1277" w:rsidRPr="008F4A7F" w:rsidRDefault="007C1277">
      <w:pPr>
        <w:jc w:val="center"/>
        <w:rPr>
          <w:rFonts w:ascii="Arial" w:hAnsi="Arial" w:cs="Arial"/>
          <w:b/>
          <w:color w:val="000000" w:themeColor="text1"/>
          <w:sz w:val="22"/>
          <w:szCs w:val="22"/>
        </w:rPr>
      </w:pPr>
    </w:p>
    <w:p w14:paraId="62523938" w14:textId="77777777" w:rsidR="00C52327" w:rsidRPr="008F4A7F" w:rsidRDefault="00C52327">
      <w:pPr>
        <w:rPr>
          <w:rFonts w:ascii="Arial" w:hAnsi="Arial" w:cs="Arial"/>
          <w:color w:val="000000" w:themeColor="text1"/>
          <w:sz w:val="22"/>
          <w:szCs w:val="22"/>
        </w:rPr>
      </w:pPr>
    </w:p>
    <w:p w14:paraId="0769FC1A" w14:textId="46DB85D1" w:rsidR="00C52327" w:rsidRPr="008F4A7F" w:rsidRDefault="004C60DC">
      <w:pPr>
        <w:jc w:val="center"/>
        <w:rPr>
          <w:rFonts w:ascii="Arial" w:hAnsi="Arial" w:cs="Arial"/>
          <w:b/>
          <w:color w:val="000000" w:themeColor="text1"/>
          <w:sz w:val="22"/>
          <w:szCs w:val="22"/>
        </w:rPr>
      </w:pPr>
      <w:r>
        <w:rPr>
          <w:rFonts w:ascii="Arial" w:hAnsi="Arial" w:cs="Arial"/>
          <w:b/>
          <w:color w:val="000000" w:themeColor="text1"/>
          <w:sz w:val="22"/>
          <w:szCs w:val="22"/>
        </w:rPr>
        <w:t xml:space="preserve">Ing., FABIOLA JÁCOME RINCÓN </w:t>
      </w:r>
      <w:r w:rsidR="002A5AFE">
        <w:rPr>
          <w:rFonts w:ascii="Arial" w:hAnsi="Arial" w:cs="Arial"/>
          <w:b/>
          <w:color w:val="000000" w:themeColor="text1"/>
          <w:sz w:val="22"/>
          <w:szCs w:val="22"/>
        </w:rPr>
        <w:t xml:space="preserve"> </w:t>
      </w:r>
    </w:p>
    <w:p w14:paraId="07F9345C" w14:textId="21034D59" w:rsidR="00C52327" w:rsidRPr="008F4A7F" w:rsidRDefault="00202AD7">
      <w:pPr>
        <w:jc w:val="center"/>
        <w:rPr>
          <w:rFonts w:ascii="Arial" w:hAnsi="Arial" w:cs="Arial"/>
          <w:color w:val="000000" w:themeColor="text1"/>
          <w:sz w:val="22"/>
          <w:szCs w:val="22"/>
        </w:rPr>
      </w:pPr>
      <w:r w:rsidRPr="008F4A7F">
        <w:rPr>
          <w:rFonts w:ascii="Arial" w:hAnsi="Arial" w:cs="Arial"/>
          <w:color w:val="000000" w:themeColor="text1"/>
          <w:sz w:val="22"/>
          <w:szCs w:val="22"/>
        </w:rPr>
        <w:t>Alcalde</w:t>
      </w:r>
      <w:r w:rsidR="004C60DC">
        <w:rPr>
          <w:rFonts w:ascii="Arial" w:hAnsi="Arial" w:cs="Arial"/>
          <w:color w:val="000000" w:themeColor="text1"/>
          <w:sz w:val="22"/>
          <w:szCs w:val="22"/>
        </w:rPr>
        <w:t xml:space="preserve">sa Municipal de Cajicá </w:t>
      </w:r>
    </w:p>
    <w:p w14:paraId="6D71FBA5" w14:textId="77777777" w:rsidR="00C52327" w:rsidRPr="008F4A7F" w:rsidRDefault="00C52327">
      <w:pPr>
        <w:jc w:val="both"/>
        <w:rPr>
          <w:color w:val="000000" w:themeColor="text1"/>
        </w:rPr>
      </w:pPr>
    </w:p>
    <w:tbl>
      <w:tblPr>
        <w:tblStyle w:val="a"/>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764"/>
        <w:gridCol w:w="2768"/>
      </w:tblGrid>
      <w:tr w:rsidR="008F4A7F" w:rsidRPr="004544C2" w14:paraId="164F5693" w14:textId="77777777">
        <w:trPr>
          <w:trHeight w:val="283"/>
        </w:trPr>
        <w:tc>
          <w:tcPr>
            <w:tcW w:w="1558" w:type="dxa"/>
            <w:tcBorders>
              <w:top w:val="nil"/>
              <w:left w:val="nil"/>
              <w:bottom w:val="single" w:sz="4" w:space="0" w:color="000000"/>
              <w:right w:val="single" w:sz="4" w:space="0" w:color="000000"/>
            </w:tcBorders>
            <w:vAlign w:val="center"/>
          </w:tcPr>
          <w:p w14:paraId="48CFDE0E" w14:textId="77777777" w:rsidR="00C52327" w:rsidRPr="004544C2" w:rsidRDefault="00C52327">
            <w:pPr>
              <w:jc w:val="center"/>
              <w:rPr>
                <w:color w:val="000000" w:themeColor="text1"/>
                <w:sz w:val="16"/>
                <w:szCs w:val="16"/>
              </w:rPr>
            </w:pPr>
          </w:p>
        </w:tc>
        <w:tc>
          <w:tcPr>
            <w:tcW w:w="3974" w:type="dxa"/>
            <w:tcBorders>
              <w:left w:val="single" w:sz="4" w:space="0" w:color="000000"/>
            </w:tcBorders>
            <w:vAlign w:val="center"/>
          </w:tcPr>
          <w:p w14:paraId="69869554" w14:textId="77777777" w:rsidR="00C52327" w:rsidRPr="004544C2" w:rsidRDefault="00202AD7">
            <w:pPr>
              <w:jc w:val="center"/>
              <w:rPr>
                <w:b/>
                <w:color w:val="000000" w:themeColor="text1"/>
                <w:sz w:val="16"/>
                <w:szCs w:val="16"/>
              </w:rPr>
            </w:pPr>
            <w:r w:rsidRPr="004544C2">
              <w:rPr>
                <w:b/>
                <w:color w:val="000000" w:themeColor="text1"/>
                <w:sz w:val="16"/>
                <w:szCs w:val="16"/>
              </w:rPr>
              <w:t>NOMBRE Y APELLIDO</w:t>
            </w:r>
          </w:p>
        </w:tc>
        <w:tc>
          <w:tcPr>
            <w:tcW w:w="2764" w:type="dxa"/>
            <w:vAlign w:val="center"/>
          </w:tcPr>
          <w:p w14:paraId="6B1B93FA" w14:textId="77777777" w:rsidR="00C52327" w:rsidRPr="004544C2" w:rsidRDefault="00202AD7">
            <w:pPr>
              <w:jc w:val="center"/>
              <w:rPr>
                <w:b/>
                <w:color w:val="000000" w:themeColor="text1"/>
                <w:sz w:val="16"/>
                <w:szCs w:val="16"/>
              </w:rPr>
            </w:pPr>
            <w:r w:rsidRPr="004544C2">
              <w:rPr>
                <w:b/>
                <w:color w:val="000000" w:themeColor="text1"/>
                <w:sz w:val="16"/>
                <w:szCs w:val="16"/>
              </w:rPr>
              <w:t>FIRMA</w:t>
            </w:r>
          </w:p>
        </w:tc>
        <w:tc>
          <w:tcPr>
            <w:tcW w:w="2768" w:type="dxa"/>
            <w:vAlign w:val="center"/>
          </w:tcPr>
          <w:p w14:paraId="1C08BD35" w14:textId="77777777" w:rsidR="00C52327" w:rsidRPr="004544C2" w:rsidRDefault="00202AD7">
            <w:pPr>
              <w:jc w:val="center"/>
              <w:rPr>
                <w:b/>
                <w:color w:val="000000" w:themeColor="text1"/>
                <w:sz w:val="16"/>
                <w:szCs w:val="16"/>
              </w:rPr>
            </w:pPr>
            <w:r w:rsidRPr="004544C2">
              <w:rPr>
                <w:b/>
                <w:color w:val="000000" w:themeColor="text1"/>
                <w:sz w:val="16"/>
                <w:szCs w:val="16"/>
              </w:rPr>
              <w:t>CARGO Y ÁREA</w:t>
            </w:r>
          </w:p>
        </w:tc>
      </w:tr>
      <w:tr w:rsidR="008F4A7F" w:rsidRPr="004544C2" w14:paraId="5F5F7FFA" w14:textId="77777777">
        <w:trPr>
          <w:trHeight w:val="283"/>
        </w:trPr>
        <w:tc>
          <w:tcPr>
            <w:tcW w:w="1558" w:type="dxa"/>
            <w:tcBorders>
              <w:top w:val="single" w:sz="4" w:space="0" w:color="000000"/>
            </w:tcBorders>
            <w:vAlign w:val="center"/>
          </w:tcPr>
          <w:p w14:paraId="7CB90157" w14:textId="77777777" w:rsidR="00C52327" w:rsidRPr="004544C2" w:rsidRDefault="00202AD7">
            <w:pPr>
              <w:widowControl w:val="0"/>
              <w:spacing w:line="276" w:lineRule="auto"/>
              <w:jc w:val="center"/>
              <w:rPr>
                <w:b/>
                <w:color w:val="000000" w:themeColor="text1"/>
                <w:sz w:val="16"/>
                <w:szCs w:val="16"/>
              </w:rPr>
            </w:pPr>
            <w:r w:rsidRPr="004544C2">
              <w:rPr>
                <w:b/>
                <w:color w:val="000000" w:themeColor="text1"/>
                <w:sz w:val="16"/>
                <w:szCs w:val="16"/>
              </w:rPr>
              <w:t>Elaboró</w:t>
            </w:r>
          </w:p>
        </w:tc>
        <w:tc>
          <w:tcPr>
            <w:tcW w:w="3974" w:type="dxa"/>
            <w:vAlign w:val="center"/>
          </w:tcPr>
          <w:p w14:paraId="607572CB" w14:textId="2AFA0910" w:rsidR="00C52327" w:rsidRPr="004544C2" w:rsidRDefault="00590B2F">
            <w:pPr>
              <w:jc w:val="center"/>
              <w:rPr>
                <w:color w:val="000000" w:themeColor="text1"/>
                <w:sz w:val="16"/>
                <w:szCs w:val="16"/>
              </w:rPr>
            </w:pPr>
            <w:r>
              <w:rPr>
                <w:color w:val="000000" w:themeColor="text1"/>
                <w:sz w:val="16"/>
                <w:szCs w:val="16"/>
              </w:rPr>
              <w:t>Carolina López Cogua</w:t>
            </w:r>
          </w:p>
        </w:tc>
        <w:tc>
          <w:tcPr>
            <w:tcW w:w="2764" w:type="dxa"/>
            <w:vAlign w:val="center"/>
          </w:tcPr>
          <w:p w14:paraId="14C1D042" w14:textId="35E15169" w:rsidR="00C52327" w:rsidRPr="004544C2" w:rsidRDefault="00C52327">
            <w:pPr>
              <w:jc w:val="center"/>
              <w:rPr>
                <w:color w:val="000000" w:themeColor="text1"/>
                <w:sz w:val="16"/>
                <w:szCs w:val="16"/>
              </w:rPr>
            </w:pPr>
          </w:p>
        </w:tc>
        <w:tc>
          <w:tcPr>
            <w:tcW w:w="2768" w:type="dxa"/>
            <w:vAlign w:val="center"/>
          </w:tcPr>
          <w:p w14:paraId="6A5F26C7" w14:textId="44008127" w:rsidR="00C52327" w:rsidRPr="004544C2" w:rsidRDefault="00590B2F">
            <w:pPr>
              <w:widowControl w:val="0"/>
              <w:spacing w:line="276" w:lineRule="auto"/>
              <w:jc w:val="center"/>
              <w:rPr>
                <w:color w:val="000000" w:themeColor="text1"/>
                <w:sz w:val="16"/>
                <w:szCs w:val="16"/>
              </w:rPr>
            </w:pPr>
            <w:r>
              <w:rPr>
                <w:color w:val="000000" w:themeColor="text1"/>
                <w:sz w:val="16"/>
                <w:szCs w:val="16"/>
              </w:rPr>
              <w:t>Profesional Universitario.</w:t>
            </w:r>
          </w:p>
        </w:tc>
      </w:tr>
      <w:tr w:rsidR="00590B2F" w:rsidRPr="004544C2" w14:paraId="48691454" w14:textId="77777777">
        <w:trPr>
          <w:trHeight w:val="283"/>
        </w:trPr>
        <w:tc>
          <w:tcPr>
            <w:tcW w:w="1558" w:type="dxa"/>
            <w:tcBorders>
              <w:top w:val="single" w:sz="4" w:space="0" w:color="000000"/>
            </w:tcBorders>
            <w:vAlign w:val="center"/>
          </w:tcPr>
          <w:p w14:paraId="06DF3293" w14:textId="697518EB" w:rsidR="00590B2F" w:rsidRPr="004544C2" w:rsidRDefault="00590B2F">
            <w:pPr>
              <w:widowControl w:val="0"/>
              <w:spacing w:line="276" w:lineRule="auto"/>
              <w:jc w:val="center"/>
              <w:rPr>
                <w:b/>
                <w:color w:val="000000" w:themeColor="text1"/>
                <w:sz w:val="16"/>
                <w:szCs w:val="16"/>
              </w:rPr>
            </w:pPr>
            <w:r>
              <w:rPr>
                <w:b/>
                <w:color w:val="000000" w:themeColor="text1"/>
                <w:sz w:val="16"/>
                <w:szCs w:val="16"/>
              </w:rPr>
              <w:t>Revisó</w:t>
            </w:r>
          </w:p>
        </w:tc>
        <w:tc>
          <w:tcPr>
            <w:tcW w:w="3974" w:type="dxa"/>
            <w:vAlign w:val="center"/>
          </w:tcPr>
          <w:p w14:paraId="3BA3EDDF" w14:textId="7ADC88A3" w:rsidR="00590B2F" w:rsidRPr="004544C2" w:rsidRDefault="00590B2F">
            <w:pPr>
              <w:jc w:val="center"/>
              <w:rPr>
                <w:color w:val="000000" w:themeColor="text1"/>
                <w:sz w:val="16"/>
                <w:szCs w:val="16"/>
              </w:rPr>
            </w:pPr>
            <w:r w:rsidRPr="004544C2">
              <w:rPr>
                <w:color w:val="000000" w:themeColor="text1"/>
                <w:sz w:val="16"/>
                <w:szCs w:val="16"/>
              </w:rPr>
              <w:t>Hugo Alejandro Palacios</w:t>
            </w:r>
          </w:p>
        </w:tc>
        <w:tc>
          <w:tcPr>
            <w:tcW w:w="2764" w:type="dxa"/>
            <w:vAlign w:val="center"/>
          </w:tcPr>
          <w:p w14:paraId="1AE94DE5" w14:textId="77777777" w:rsidR="00590B2F" w:rsidRPr="004544C2" w:rsidRDefault="00590B2F">
            <w:pPr>
              <w:jc w:val="center"/>
              <w:rPr>
                <w:color w:val="000000" w:themeColor="text1"/>
                <w:sz w:val="16"/>
                <w:szCs w:val="16"/>
              </w:rPr>
            </w:pPr>
          </w:p>
        </w:tc>
        <w:tc>
          <w:tcPr>
            <w:tcW w:w="2768" w:type="dxa"/>
            <w:vAlign w:val="center"/>
          </w:tcPr>
          <w:p w14:paraId="035E016B" w14:textId="2B99A2E1" w:rsidR="00590B2F" w:rsidRPr="004544C2" w:rsidRDefault="00590B2F">
            <w:pPr>
              <w:widowControl w:val="0"/>
              <w:spacing w:line="276" w:lineRule="auto"/>
              <w:jc w:val="center"/>
              <w:rPr>
                <w:color w:val="000000" w:themeColor="text1"/>
                <w:sz w:val="16"/>
                <w:szCs w:val="16"/>
              </w:rPr>
            </w:pPr>
            <w:r w:rsidRPr="004544C2">
              <w:rPr>
                <w:color w:val="000000" w:themeColor="text1"/>
                <w:sz w:val="16"/>
                <w:szCs w:val="16"/>
              </w:rPr>
              <w:t>Abogado externo Despacho.</w:t>
            </w:r>
          </w:p>
        </w:tc>
      </w:tr>
      <w:tr w:rsidR="008F4A7F" w:rsidRPr="004544C2" w14:paraId="1CC2041D" w14:textId="77777777">
        <w:trPr>
          <w:trHeight w:val="536"/>
        </w:trPr>
        <w:tc>
          <w:tcPr>
            <w:tcW w:w="11064" w:type="dxa"/>
            <w:gridSpan w:val="4"/>
            <w:vAlign w:val="center"/>
          </w:tcPr>
          <w:p w14:paraId="0A9F4FB8" w14:textId="77777777" w:rsidR="00C52327" w:rsidRPr="004544C2" w:rsidRDefault="00202AD7">
            <w:pPr>
              <w:jc w:val="center"/>
              <w:rPr>
                <w:color w:val="000000" w:themeColor="text1"/>
                <w:sz w:val="16"/>
                <w:szCs w:val="16"/>
              </w:rPr>
            </w:pPr>
            <w:r w:rsidRPr="004544C2">
              <w:rPr>
                <w:color w:val="000000" w:themeColor="text1"/>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159B3423" w14:textId="77777777" w:rsidR="00C52327" w:rsidRPr="008F4A7F" w:rsidRDefault="00C52327" w:rsidP="004544C2">
      <w:pPr>
        <w:tabs>
          <w:tab w:val="left" w:pos="1966"/>
          <w:tab w:val="right" w:pos="8786"/>
        </w:tabs>
        <w:rPr>
          <w:i/>
          <w:color w:val="000000" w:themeColor="text1"/>
          <w:sz w:val="22"/>
          <w:szCs w:val="22"/>
        </w:rPr>
      </w:pPr>
    </w:p>
    <w:sectPr w:rsidR="00C52327" w:rsidRPr="008F4A7F" w:rsidSect="00227D4A">
      <w:headerReference w:type="even" r:id="rId8"/>
      <w:headerReference w:type="default" r:id="rId9"/>
      <w:footerReference w:type="default" r:id="rId10"/>
      <w:headerReference w:type="first" r:id="rId11"/>
      <w:pgSz w:w="12240" w:h="20160" w:code="5"/>
      <w:pgMar w:top="2187" w:right="1701" w:bottom="3286" w:left="1701" w:header="708"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B5177" w14:textId="77777777" w:rsidR="00DC6815" w:rsidRDefault="00DC6815">
      <w:r>
        <w:separator/>
      </w:r>
    </w:p>
  </w:endnote>
  <w:endnote w:type="continuationSeparator" w:id="0">
    <w:p w14:paraId="2E420C76" w14:textId="77777777" w:rsidR="00DC6815" w:rsidRDefault="00DC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998F" w14:textId="77777777" w:rsidR="00C52327" w:rsidRDefault="00202AD7">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23AC903A" wp14:editId="293B3F2C">
          <wp:extent cx="7902300" cy="1110453"/>
          <wp:effectExtent l="0" t="0" r="0" b="0"/>
          <wp:docPr id="134097249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D175" w14:textId="77777777" w:rsidR="00DC6815" w:rsidRDefault="00DC6815">
      <w:r>
        <w:separator/>
      </w:r>
    </w:p>
  </w:footnote>
  <w:footnote w:type="continuationSeparator" w:id="0">
    <w:p w14:paraId="3C11CC5A" w14:textId="77777777" w:rsidR="00DC6815" w:rsidRDefault="00DC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0C87" w14:textId="77777777" w:rsidR="00C52327" w:rsidRDefault="00DC6815">
    <w:pPr>
      <w:pBdr>
        <w:top w:val="nil"/>
        <w:left w:val="nil"/>
        <w:bottom w:val="nil"/>
        <w:right w:val="nil"/>
        <w:between w:val="nil"/>
      </w:pBdr>
      <w:tabs>
        <w:tab w:val="center" w:pos="4419"/>
        <w:tab w:val="right" w:pos="8838"/>
      </w:tabs>
      <w:rPr>
        <w:color w:val="000000"/>
      </w:rPr>
    </w:pPr>
    <w:r>
      <w:rPr>
        <w:color w:val="000000"/>
      </w:rPr>
      <w:pict w14:anchorId="67D0C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F6C" w14:textId="77777777" w:rsidR="00C52327" w:rsidRDefault="00C52327">
    <w:pPr>
      <w:tabs>
        <w:tab w:val="center" w:pos="4419"/>
        <w:tab w:val="right" w:pos="8838"/>
      </w:tabs>
      <w:ind w:left="-284"/>
      <w:rPr>
        <w:color w:val="FF0000"/>
        <w:sz w:val="16"/>
        <w:szCs w:val="16"/>
      </w:rPr>
    </w:pPr>
  </w:p>
  <w:p w14:paraId="56EDFB8C" w14:textId="77777777" w:rsidR="00C52327" w:rsidRDefault="00DC6815">
    <w:pPr>
      <w:pBdr>
        <w:top w:val="nil"/>
        <w:left w:val="nil"/>
        <w:bottom w:val="nil"/>
        <w:right w:val="nil"/>
        <w:between w:val="nil"/>
      </w:pBdr>
      <w:tabs>
        <w:tab w:val="center" w:pos="4419"/>
        <w:tab w:val="right" w:pos="8838"/>
      </w:tabs>
      <w:ind w:left="-284" w:firstLine="284"/>
      <w:rPr>
        <w:color w:val="000000"/>
      </w:rPr>
    </w:pPr>
    <w:r>
      <w:rPr>
        <w:color w:val="000000"/>
      </w:rPr>
      <w:pict w14:anchorId="12AD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202AD7">
      <w:rPr>
        <w:noProof/>
        <w:color w:val="000000"/>
      </w:rPr>
      <w:drawing>
        <wp:inline distT="0" distB="0" distL="0" distR="0" wp14:anchorId="6A4702C5" wp14:editId="41423308">
          <wp:extent cx="6745315" cy="727435"/>
          <wp:effectExtent l="0" t="0" r="0" b="0"/>
          <wp:docPr id="8243038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F2A0" w14:textId="77777777" w:rsidR="00C52327" w:rsidRDefault="00DC6815">
    <w:pPr>
      <w:pBdr>
        <w:top w:val="nil"/>
        <w:left w:val="nil"/>
        <w:bottom w:val="nil"/>
        <w:right w:val="nil"/>
        <w:between w:val="nil"/>
      </w:pBdr>
      <w:tabs>
        <w:tab w:val="center" w:pos="4419"/>
        <w:tab w:val="right" w:pos="8838"/>
      </w:tabs>
      <w:rPr>
        <w:color w:val="000000"/>
      </w:rPr>
    </w:pPr>
    <w:r>
      <w:rPr>
        <w:color w:val="000000"/>
      </w:rPr>
      <w:pict w14:anchorId="45CFE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DBE"/>
    <w:multiLevelType w:val="hybridMultilevel"/>
    <w:tmpl w:val="E3A27C0C"/>
    <w:lvl w:ilvl="0" w:tplc="69F0A43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15:restartNumberingAfterBreak="0">
    <w:nsid w:val="1D684F47"/>
    <w:multiLevelType w:val="hybridMultilevel"/>
    <w:tmpl w:val="A678C2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E8F5D24"/>
    <w:multiLevelType w:val="hybridMultilevel"/>
    <w:tmpl w:val="A33015BC"/>
    <w:lvl w:ilvl="0" w:tplc="8AB0102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226CD0"/>
    <w:multiLevelType w:val="hybridMultilevel"/>
    <w:tmpl w:val="93884490"/>
    <w:lvl w:ilvl="0" w:tplc="06B22BD2">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418548C2"/>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5" w15:restartNumberingAfterBreak="0">
    <w:nsid w:val="480812FB"/>
    <w:multiLevelType w:val="hybridMultilevel"/>
    <w:tmpl w:val="404ABEBE"/>
    <w:lvl w:ilvl="0" w:tplc="79BC8F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0623CB6"/>
    <w:multiLevelType w:val="hybridMultilevel"/>
    <w:tmpl w:val="79669EB4"/>
    <w:lvl w:ilvl="0" w:tplc="9BFED36C">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785762B3"/>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num w:numId="1" w16cid:durableId="1398019492">
    <w:abstractNumId w:val="7"/>
  </w:num>
  <w:num w:numId="2" w16cid:durableId="624967247">
    <w:abstractNumId w:val="4"/>
  </w:num>
  <w:num w:numId="3" w16cid:durableId="1112364117">
    <w:abstractNumId w:val="6"/>
  </w:num>
  <w:num w:numId="4" w16cid:durableId="734010281">
    <w:abstractNumId w:val="2"/>
  </w:num>
  <w:num w:numId="5" w16cid:durableId="959804858">
    <w:abstractNumId w:val="3"/>
  </w:num>
  <w:num w:numId="6" w16cid:durableId="685012754">
    <w:abstractNumId w:val="0"/>
  </w:num>
  <w:num w:numId="7" w16cid:durableId="1459182443">
    <w:abstractNumId w:val="1"/>
  </w:num>
  <w:num w:numId="8" w16cid:durableId="2094206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327"/>
    <w:rsid w:val="000000D4"/>
    <w:rsid w:val="0002575D"/>
    <w:rsid w:val="00053757"/>
    <w:rsid w:val="00074751"/>
    <w:rsid w:val="000B2170"/>
    <w:rsid w:val="000C1000"/>
    <w:rsid w:val="000D2491"/>
    <w:rsid w:val="001011E8"/>
    <w:rsid w:val="001038CC"/>
    <w:rsid w:val="00125217"/>
    <w:rsid w:val="00134911"/>
    <w:rsid w:val="00137664"/>
    <w:rsid w:val="00166711"/>
    <w:rsid w:val="001952EE"/>
    <w:rsid w:val="001B31AB"/>
    <w:rsid w:val="001D06C9"/>
    <w:rsid w:val="001E0FF7"/>
    <w:rsid w:val="001E1C2A"/>
    <w:rsid w:val="001E583A"/>
    <w:rsid w:val="00202AD7"/>
    <w:rsid w:val="00211B5D"/>
    <w:rsid w:val="002217EE"/>
    <w:rsid w:val="00227D4A"/>
    <w:rsid w:val="00240F40"/>
    <w:rsid w:val="00254E47"/>
    <w:rsid w:val="002A5AFE"/>
    <w:rsid w:val="002D2E63"/>
    <w:rsid w:val="002F2D73"/>
    <w:rsid w:val="0031412F"/>
    <w:rsid w:val="00346CF1"/>
    <w:rsid w:val="00360DC8"/>
    <w:rsid w:val="00390D3C"/>
    <w:rsid w:val="003A3BE4"/>
    <w:rsid w:val="003C7FAA"/>
    <w:rsid w:val="0041587E"/>
    <w:rsid w:val="00433002"/>
    <w:rsid w:val="004544C2"/>
    <w:rsid w:val="0045758D"/>
    <w:rsid w:val="00463A40"/>
    <w:rsid w:val="00465D0A"/>
    <w:rsid w:val="004750B6"/>
    <w:rsid w:val="004812F7"/>
    <w:rsid w:val="004817E3"/>
    <w:rsid w:val="0048419B"/>
    <w:rsid w:val="004A1135"/>
    <w:rsid w:val="004A3C5E"/>
    <w:rsid w:val="004C60DC"/>
    <w:rsid w:val="004D799E"/>
    <w:rsid w:val="004E1D74"/>
    <w:rsid w:val="004E275F"/>
    <w:rsid w:val="004F51C1"/>
    <w:rsid w:val="00561C11"/>
    <w:rsid w:val="00590B2F"/>
    <w:rsid w:val="005F1B77"/>
    <w:rsid w:val="00600AF7"/>
    <w:rsid w:val="006160E4"/>
    <w:rsid w:val="00617ABB"/>
    <w:rsid w:val="00636431"/>
    <w:rsid w:val="006F34F9"/>
    <w:rsid w:val="00744604"/>
    <w:rsid w:val="00746EC3"/>
    <w:rsid w:val="00757B3B"/>
    <w:rsid w:val="0076513D"/>
    <w:rsid w:val="007A4FF9"/>
    <w:rsid w:val="007B06E1"/>
    <w:rsid w:val="007B2A85"/>
    <w:rsid w:val="007C1277"/>
    <w:rsid w:val="007C45F2"/>
    <w:rsid w:val="007F0A25"/>
    <w:rsid w:val="007F10C4"/>
    <w:rsid w:val="00804691"/>
    <w:rsid w:val="00806A1D"/>
    <w:rsid w:val="00850518"/>
    <w:rsid w:val="00856CD4"/>
    <w:rsid w:val="00884808"/>
    <w:rsid w:val="0089248A"/>
    <w:rsid w:val="008A363B"/>
    <w:rsid w:val="008A38FA"/>
    <w:rsid w:val="008B2EC4"/>
    <w:rsid w:val="008F4A7F"/>
    <w:rsid w:val="00917A67"/>
    <w:rsid w:val="009517A0"/>
    <w:rsid w:val="009879B6"/>
    <w:rsid w:val="00997C9E"/>
    <w:rsid w:val="009B0E19"/>
    <w:rsid w:val="009E3A8B"/>
    <w:rsid w:val="009F279D"/>
    <w:rsid w:val="00A05B05"/>
    <w:rsid w:val="00A3271D"/>
    <w:rsid w:val="00A3571A"/>
    <w:rsid w:val="00A36F04"/>
    <w:rsid w:val="00A37E7A"/>
    <w:rsid w:val="00A476E1"/>
    <w:rsid w:val="00AA2214"/>
    <w:rsid w:val="00AD0E0E"/>
    <w:rsid w:val="00AE1BE9"/>
    <w:rsid w:val="00AF039E"/>
    <w:rsid w:val="00B033EA"/>
    <w:rsid w:val="00B078FD"/>
    <w:rsid w:val="00B63602"/>
    <w:rsid w:val="00B720FD"/>
    <w:rsid w:val="00B723BF"/>
    <w:rsid w:val="00B750F3"/>
    <w:rsid w:val="00B85168"/>
    <w:rsid w:val="00BA0595"/>
    <w:rsid w:val="00BA1D7D"/>
    <w:rsid w:val="00BB768B"/>
    <w:rsid w:val="00BD7149"/>
    <w:rsid w:val="00BD723F"/>
    <w:rsid w:val="00C01EFE"/>
    <w:rsid w:val="00C06119"/>
    <w:rsid w:val="00C10514"/>
    <w:rsid w:val="00C52327"/>
    <w:rsid w:val="00C5375F"/>
    <w:rsid w:val="00C67A0E"/>
    <w:rsid w:val="00C81B1D"/>
    <w:rsid w:val="00C95621"/>
    <w:rsid w:val="00CA49E0"/>
    <w:rsid w:val="00CA7269"/>
    <w:rsid w:val="00CC6CD1"/>
    <w:rsid w:val="00CD0AE3"/>
    <w:rsid w:val="00D03E53"/>
    <w:rsid w:val="00D1250A"/>
    <w:rsid w:val="00D2773B"/>
    <w:rsid w:val="00D523B7"/>
    <w:rsid w:val="00D63953"/>
    <w:rsid w:val="00D75C3E"/>
    <w:rsid w:val="00D8360C"/>
    <w:rsid w:val="00DA4782"/>
    <w:rsid w:val="00DC6815"/>
    <w:rsid w:val="00DD13CF"/>
    <w:rsid w:val="00E00EB3"/>
    <w:rsid w:val="00E01E6D"/>
    <w:rsid w:val="00E1419A"/>
    <w:rsid w:val="00E22FAA"/>
    <w:rsid w:val="00E238C6"/>
    <w:rsid w:val="00E245FA"/>
    <w:rsid w:val="00E324F1"/>
    <w:rsid w:val="00E80244"/>
    <w:rsid w:val="00E96412"/>
    <w:rsid w:val="00EC2B54"/>
    <w:rsid w:val="00EC7C8E"/>
    <w:rsid w:val="00F16C09"/>
    <w:rsid w:val="00F532A2"/>
    <w:rsid w:val="00FF77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3C5D"/>
  <w15:docId w15:val="{DFAD2DC8-EF4F-40C2-AC3F-F66B9EB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B078FD"/>
    <w:pPr>
      <w:ind w:left="720"/>
      <w:contextualSpacing/>
      <w:jc w:val="both"/>
    </w:pPr>
    <w:rPr>
      <w:rFonts w:cs="Times New Roman"/>
      <w:sz w:val="22"/>
      <w:szCs w:val="22"/>
      <w:lang w:eastAsia="en-US"/>
    </w:rPr>
  </w:style>
  <w:style w:type="paragraph" w:styleId="Piedepgina">
    <w:name w:val="footer"/>
    <w:basedOn w:val="Normal"/>
    <w:link w:val="PiedepginaCar"/>
    <w:uiPriority w:val="99"/>
    <w:unhideWhenUsed/>
    <w:rsid w:val="00D523B7"/>
    <w:pPr>
      <w:tabs>
        <w:tab w:val="center" w:pos="4419"/>
        <w:tab w:val="right" w:pos="8838"/>
      </w:tabs>
    </w:pPr>
  </w:style>
  <w:style w:type="character" w:customStyle="1" w:styleId="PiedepginaCar">
    <w:name w:val="Pie de página Car"/>
    <w:basedOn w:val="Fuentedeprrafopredeter"/>
    <w:link w:val="Piedepgina"/>
    <w:uiPriority w:val="99"/>
    <w:rsid w:val="00D523B7"/>
  </w:style>
  <w:style w:type="character" w:styleId="Hipervnculo">
    <w:name w:val="Hyperlink"/>
    <w:basedOn w:val="Fuentedeprrafopredeter"/>
    <w:uiPriority w:val="99"/>
    <w:unhideWhenUsed/>
    <w:rsid w:val="00D03E53"/>
    <w:rPr>
      <w:color w:val="0000FF" w:themeColor="hyperlink"/>
      <w:u w:val="single"/>
    </w:rPr>
  </w:style>
  <w:style w:type="character" w:styleId="Mencinsinresolver">
    <w:name w:val="Unresolved Mention"/>
    <w:basedOn w:val="Fuentedeprrafopredeter"/>
    <w:uiPriority w:val="99"/>
    <w:semiHidden/>
    <w:unhideWhenUsed/>
    <w:rsid w:val="00D03E53"/>
    <w:rPr>
      <w:color w:val="605E5C"/>
      <w:shd w:val="clear" w:color="auto" w:fill="E1DFDD"/>
    </w:rPr>
  </w:style>
  <w:style w:type="character" w:styleId="Hipervnculovisitado">
    <w:name w:val="FollowedHyperlink"/>
    <w:basedOn w:val="Fuentedeprrafopredeter"/>
    <w:uiPriority w:val="99"/>
    <w:semiHidden/>
    <w:unhideWhenUsed/>
    <w:rsid w:val="008B2EC4"/>
    <w:rPr>
      <w:color w:val="800080" w:themeColor="followedHyperlink"/>
      <w:u w:val="single"/>
    </w:rPr>
  </w:style>
  <w:style w:type="paragraph" w:styleId="Textonotapie">
    <w:name w:val="footnote text"/>
    <w:aliases w:val="Footnote Text Char Char Char Char Char,Footnote Text Char Char Char Char,Footnote reference,FA Fu,Footnote Text Char Char Char,Texto nota pie Car Car,Footnote Text Char Char Char Char Char Car,FA Fu C,Footnote Text Char,Car"/>
    <w:basedOn w:val="Normal"/>
    <w:link w:val="TextonotapieCar"/>
    <w:uiPriority w:val="99"/>
    <w:unhideWhenUsed/>
    <w:qFormat/>
    <w:rsid w:val="001E1C2A"/>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1,Footnote Text Char Char Char Char Car,Footnote reference Car,FA Fu Car,Footnote Text Char Char Char Car,Texto nota pie Car Car Car,Footnote Text Char Char Char Char Char Car Car,FA Fu C Car"/>
    <w:basedOn w:val="Fuentedeprrafopredeter"/>
    <w:link w:val="Textonotapie"/>
    <w:uiPriority w:val="99"/>
    <w:rsid w:val="001E1C2A"/>
    <w:rPr>
      <w:rFonts w:ascii="Times New Roman" w:eastAsia="Times New Roman" w:hAnsi="Times New Roman" w:cs="Times New Roman"/>
      <w:sz w:val="20"/>
      <w:szCs w:val="20"/>
      <w:lang w:val="es-ES" w:eastAsia="es-ES"/>
    </w:rPr>
  </w:style>
  <w:style w:type="character" w:styleId="Refdenotaalpie">
    <w:name w:val="footnote reference"/>
    <w:aliases w:val="Texto de nota al pie,referencia nota al pie,Appel note de bas de page,Footnotes refss,Footnote number,BVI fnr,f,texto de nota al pie Car Car Car2,Ref. de nota al pie 2,Texto de nota al p,Pie de P_gin,Pie de P_g,Pie de Pögin,FC,F,Ref"/>
    <w:basedOn w:val="Fuentedeprrafopredeter"/>
    <w:link w:val="Char2"/>
    <w:uiPriority w:val="99"/>
    <w:unhideWhenUsed/>
    <w:qFormat/>
    <w:rsid w:val="001E1C2A"/>
    <w:rPr>
      <w:vertAlign w:val="superscript"/>
    </w:rPr>
  </w:style>
  <w:style w:type="paragraph" w:customStyle="1" w:styleId="Char2">
    <w:name w:val="Char2"/>
    <w:basedOn w:val="Normal"/>
    <w:link w:val="Refdenotaalpie"/>
    <w:uiPriority w:val="99"/>
    <w:rsid w:val="001E1C2A"/>
    <w:pPr>
      <w:pBdr>
        <w:top w:val="nil"/>
        <w:left w:val="nil"/>
        <w:bottom w:val="nil"/>
        <w:right w:val="nil"/>
        <w:between w:val="nil"/>
      </w:pBdr>
      <w:spacing w:after="160" w:line="240" w:lineRule="exact"/>
    </w:pPr>
    <w:rPr>
      <w:vertAlign w:val="superscript"/>
    </w:rPr>
  </w:style>
  <w:style w:type="paragraph" w:customStyle="1" w:styleId="p1">
    <w:name w:val="p1"/>
    <w:basedOn w:val="Normal"/>
    <w:rsid w:val="00125217"/>
    <w:rPr>
      <w:rFonts w:ascii="Arial" w:eastAsia="Times New Roman" w:hAnsi="Arial" w:cs="Arial"/>
      <w:color w:val="000000"/>
      <w:sz w:val="17"/>
      <w:szCs w:val="17"/>
      <w:lang w:eastAsia="es-MX"/>
    </w:rPr>
  </w:style>
  <w:style w:type="paragraph" w:customStyle="1" w:styleId="p2">
    <w:name w:val="p2"/>
    <w:basedOn w:val="Normal"/>
    <w:rsid w:val="00125217"/>
    <w:rPr>
      <w:rFonts w:ascii="Arial" w:eastAsia="Times New Roman" w:hAnsi="Arial" w:cs="Arial"/>
      <w:color w:val="262626"/>
      <w:sz w:val="17"/>
      <w:szCs w:val="17"/>
      <w:lang w:eastAsia="es-MX"/>
    </w:rPr>
  </w:style>
  <w:style w:type="paragraph" w:styleId="NormalWeb">
    <w:name w:val="Normal (Web)"/>
    <w:basedOn w:val="Normal"/>
    <w:uiPriority w:val="99"/>
    <w:unhideWhenUsed/>
    <w:rsid w:val="002A5AFE"/>
    <w:pPr>
      <w:spacing w:before="100" w:beforeAutospacing="1" w:after="100" w:afterAutospacing="1"/>
    </w:pPr>
    <w:rPr>
      <w:rFonts w:ascii="Times New Roman" w:eastAsia="Times New Roman" w:hAnsi="Times New Roman" w:cs="Times New Roman"/>
      <w:lang w:val="es-419" w:eastAsia="es-419"/>
    </w:rPr>
  </w:style>
  <w:style w:type="character" w:customStyle="1" w:styleId="whitespace-normal">
    <w:name w:val="whitespace-normal"/>
    <w:basedOn w:val="Fuentedeprrafopredeter"/>
    <w:rsid w:val="002A5AFE"/>
  </w:style>
  <w:style w:type="paragraph" w:styleId="Revisin">
    <w:name w:val="Revision"/>
    <w:hidden/>
    <w:uiPriority w:val="99"/>
    <w:semiHidden/>
    <w:rsid w:val="00134911"/>
  </w:style>
  <w:style w:type="paragraph" w:customStyle="1" w:styleId="isselectedend">
    <w:name w:val="isselectedend"/>
    <w:basedOn w:val="Normal"/>
    <w:rsid w:val="00227D4A"/>
    <w:pPr>
      <w:spacing w:before="100" w:beforeAutospacing="1" w:after="100" w:afterAutospacing="1"/>
    </w:pPr>
    <w:rPr>
      <w:rFonts w:ascii="Times New Roman" w:eastAsia="Times New Roman" w:hAnsi="Times New Roman" w:cs="Times New Roman"/>
      <w:lang w:eastAsia="es-MX"/>
    </w:rPr>
  </w:style>
  <w:style w:type="character" w:styleId="Textoennegrita">
    <w:name w:val="Strong"/>
    <w:basedOn w:val="Fuentedeprrafopredeter"/>
    <w:uiPriority w:val="22"/>
    <w:qFormat/>
    <w:rsid w:val="00227D4A"/>
    <w:rPr>
      <w:b/>
      <w:bCs/>
    </w:rPr>
  </w:style>
  <w:style w:type="character" w:customStyle="1" w:styleId="apple-converted-space">
    <w:name w:val="apple-converted-space"/>
    <w:basedOn w:val="Fuentedeprrafopredeter"/>
    <w:rsid w:val="00227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2059">
      <w:bodyDiv w:val="1"/>
      <w:marLeft w:val="0"/>
      <w:marRight w:val="0"/>
      <w:marTop w:val="0"/>
      <w:marBottom w:val="0"/>
      <w:divBdr>
        <w:top w:val="none" w:sz="0" w:space="0" w:color="auto"/>
        <w:left w:val="none" w:sz="0" w:space="0" w:color="auto"/>
        <w:bottom w:val="none" w:sz="0" w:space="0" w:color="auto"/>
        <w:right w:val="none" w:sz="0" w:space="0" w:color="auto"/>
      </w:divBdr>
    </w:div>
    <w:div w:id="243029413">
      <w:bodyDiv w:val="1"/>
      <w:marLeft w:val="0"/>
      <w:marRight w:val="0"/>
      <w:marTop w:val="0"/>
      <w:marBottom w:val="0"/>
      <w:divBdr>
        <w:top w:val="none" w:sz="0" w:space="0" w:color="auto"/>
        <w:left w:val="none" w:sz="0" w:space="0" w:color="auto"/>
        <w:bottom w:val="none" w:sz="0" w:space="0" w:color="auto"/>
        <w:right w:val="none" w:sz="0" w:space="0" w:color="auto"/>
      </w:divBdr>
    </w:div>
    <w:div w:id="397899980">
      <w:bodyDiv w:val="1"/>
      <w:marLeft w:val="0"/>
      <w:marRight w:val="0"/>
      <w:marTop w:val="0"/>
      <w:marBottom w:val="0"/>
      <w:divBdr>
        <w:top w:val="none" w:sz="0" w:space="0" w:color="auto"/>
        <w:left w:val="none" w:sz="0" w:space="0" w:color="auto"/>
        <w:bottom w:val="none" w:sz="0" w:space="0" w:color="auto"/>
        <w:right w:val="none" w:sz="0" w:space="0" w:color="auto"/>
      </w:divBdr>
    </w:div>
    <w:div w:id="1269898539">
      <w:bodyDiv w:val="1"/>
      <w:marLeft w:val="0"/>
      <w:marRight w:val="0"/>
      <w:marTop w:val="0"/>
      <w:marBottom w:val="0"/>
      <w:divBdr>
        <w:top w:val="none" w:sz="0" w:space="0" w:color="auto"/>
        <w:left w:val="none" w:sz="0" w:space="0" w:color="auto"/>
        <w:bottom w:val="none" w:sz="0" w:space="0" w:color="auto"/>
        <w:right w:val="none" w:sz="0" w:space="0" w:color="auto"/>
      </w:divBdr>
    </w:div>
    <w:div w:id="2053259793">
      <w:bodyDiv w:val="1"/>
      <w:marLeft w:val="0"/>
      <w:marRight w:val="0"/>
      <w:marTop w:val="0"/>
      <w:marBottom w:val="0"/>
      <w:divBdr>
        <w:top w:val="none" w:sz="0" w:space="0" w:color="auto"/>
        <w:left w:val="none" w:sz="0" w:space="0" w:color="auto"/>
        <w:bottom w:val="none" w:sz="0" w:space="0" w:color="auto"/>
        <w:right w:val="none" w:sz="0" w:space="0" w:color="auto"/>
      </w:divBdr>
      <w:divsChild>
        <w:div w:id="718824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3A07-2B4F-45C9-BFE5-0068D1AF9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3150</Words>
  <Characters>17329</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DESPACHO</dc:creator>
  <cp:lastModifiedBy>Hugo Palacios</cp:lastModifiedBy>
  <cp:revision>2</cp:revision>
  <cp:lastPrinted>2024-02-07T22:43:00Z</cp:lastPrinted>
  <dcterms:created xsi:type="dcterms:W3CDTF">2026-06-25T16:31:00Z</dcterms:created>
  <dcterms:modified xsi:type="dcterms:W3CDTF">2026-06-25T16:31:00Z</dcterms:modified>
</cp:coreProperties>
</file>